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11F4E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7456AC2B"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B73C6">
                              <w:rPr>
                                <w:rFonts w:asciiTheme="majorHAnsi" w:hAnsiTheme="majorHAnsi" w:cs="Arial"/>
                                <w:b/>
                                <w:bCs/>
                                <w:color w:val="0D0D0D" w:themeColor="text1" w:themeTint="F2"/>
                                <w:sz w:val="36"/>
                                <w:szCs w:val="40"/>
                              </w:rPr>
                              <w:t>159</w:t>
                            </w:r>
                            <w:r w:rsidRPr="004B7EB6">
                              <w:rPr>
                                <w:rFonts w:asciiTheme="majorHAnsi" w:hAnsiTheme="majorHAnsi" w:cs="Arial"/>
                                <w:b/>
                                <w:bCs/>
                                <w:color w:val="0D0D0D" w:themeColor="text1" w:themeTint="F2"/>
                                <w:sz w:val="36"/>
                                <w:szCs w:val="40"/>
                              </w:rPr>
                              <w:t>/</w:t>
                            </w:r>
                            <w:r w:rsidR="00C57C8E">
                              <w:rPr>
                                <w:rFonts w:asciiTheme="majorHAnsi" w:hAnsiTheme="majorHAnsi" w:cs="Arial"/>
                                <w:b/>
                                <w:bCs/>
                                <w:color w:val="0D0D0D" w:themeColor="text1" w:themeTint="F2"/>
                                <w:sz w:val="36"/>
                                <w:szCs w:val="40"/>
                              </w:rPr>
                              <w:t>2</w:t>
                            </w:r>
                            <w:r w:rsidRPr="004B7EB6">
                              <w:rPr>
                                <w:rFonts w:asciiTheme="majorHAnsi" w:hAnsiTheme="majorHAnsi" w:cs="Arial"/>
                                <w:b/>
                                <w:bCs/>
                                <w:color w:val="0D0D0D" w:themeColor="text1" w:themeTint="F2"/>
                                <w:sz w:val="36"/>
                                <w:szCs w:val="40"/>
                              </w:rPr>
                              <w:t>4</w:t>
                            </w:r>
                          </w:p>
                          <w:p w14:paraId="2F09FD78" w14:textId="6C1C9EE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C57C8E">
                              <w:rPr>
                                <w:rFonts w:asciiTheme="majorHAnsi" w:hAnsiTheme="majorHAnsi" w:cs="Arial"/>
                                <w:b/>
                                <w:bCs/>
                                <w:color w:val="0D0D0D" w:themeColor="text1" w:themeTint="F2"/>
                                <w:sz w:val="36"/>
                                <w:szCs w:val="40"/>
                              </w:rPr>
                              <w:t>13.892</w:t>
                            </w:r>
                          </w:p>
                          <w:p w14:paraId="137925A6" w14:textId="315BECE5"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1A7387FF" w14:textId="40422B24" w:rsidR="00C57C8E" w:rsidRPr="001352BB" w:rsidRDefault="00C57C8E" w:rsidP="004B7EB6">
                            <w:pPr>
                              <w:spacing w:line="276" w:lineRule="auto"/>
                              <w:rPr>
                                <w:rFonts w:ascii="Cambria" w:hAnsi="Cambria" w:cs="Arial"/>
                                <w:color w:val="0D0D0D"/>
                                <w:lang w:val="es-AR"/>
                              </w:rPr>
                            </w:pPr>
                            <w:r w:rsidRPr="001352BB">
                              <w:rPr>
                                <w:rFonts w:ascii="Cambria" w:hAnsi="Cambria" w:cs="Arial"/>
                                <w:color w:val="0D0D0D"/>
                                <w:lang w:val="es-AR"/>
                              </w:rPr>
                              <w:t>DENYS DEL CARMEN OLIVERA DE MONTES AND FAMILY</w:t>
                            </w:r>
                          </w:p>
                          <w:p w14:paraId="07E90BFE" w14:textId="1BD4E4F6" w:rsidR="005B52B0" w:rsidRPr="00C57C8E" w:rsidRDefault="00C57C8E"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7456AC2B"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B73C6">
                        <w:rPr>
                          <w:rFonts w:asciiTheme="majorHAnsi" w:hAnsiTheme="majorHAnsi" w:cs="Arial"/>
                          <w:b/>
                          <w:bCs/>
                          <w:color w:val="0D0D0D" w:themeColor="text1" w:themeTint="F2"/>
                          <w:sz w:val="36"/>
                          <w:szCs w:val="40"/>
                        </w:rPr>
                        <w:t>159</w:t>
                      </w:r>
                      <w:r w:rsidRPr="004B7EB6">
                        <w:rPr>
                          <w:rFonts w:asciiTheme="majorHAnsi" w:hAnsiTheme="majorHAnsi" w:cs="Arial"/>
                          <w:b/>
                          <w:bCs/>
                          <w:color w:val="0D0D0D" w:themeColor="text1" w:themeTint="F2"/>
                          <w:sz w:val="36"/>
                          <w:szCs w:val="40"/>
                        </w:rPr>
                        <w:t>/</w:t>
                      </w:r>
                      <w:r w:rsidR="00C57C8E">
                        <w:rPr>
                          <w:rFonts w:asciiTheme="majorHAnsi" w:hAnsiTheme="majorHAnsi" w:cs="Arial"/>
                          <w:b/>
                          <w:bCs/>
                          <w:color w:val="0D0D0D" w:themeColor="text1" w:themeTint="F2"/>
                          <w:sz w:val="36"/>
                          <w:szCs w:val="40"/>
                        </w:rPr>
                        <w:t>2</w:t>
                      </w:r>
                      <w:r w:rsidRPr="004B7EB6">
                        <w:rPr>
                          <w:rFonts w:asciiTheme="majorHAnsi" w:hAnsiTheme="majorHAnsi" w:cs="Arial"/>
                          <w:b/>
                          <w:bCs/>
                          <w:color w:val="0D0D0D" w:themeColor="text1" w:themeTint="F2"/>
                          <w:sz w:val="36"/>
                          <w:szCs w:val="40"/>
                        </w:rPr>
                        <w:t>4</w:t>
                      </w:r>
                    </w:p>
                    <w:p w14:paraId="2F09FD78" w14:textId="6C1C9EE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C57C8E">
                        <w:rPr>
                          <w:rFonts w:asciiTheme="majorHAnsi" w:hAnsiTheme="majorHAnsi" w:cs="Arial"/>
                          <w:b/>
                          <w:bCs/>
                          <w:color w:val="0D0D0D" w:themeColor="text1" w:themeTint="F2"/>
                          <w:sz w:val="36"/>
                          <w:szCs w:val="40"/>
                        </w:rPr>
                        <w:t>13.892</w:t>
                      </w:r>
                    </w:p>
                    <w:p w14:paraId="137925A6" w14:textId="315BECE5"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1A7387FF" w14:textId="40422B24" w:rsidR="00C57C8E" w:rsidRPr="001352BB" w:rsidRDefault="00C57C8E" w:rsidP="004B7EB6">
                      <w:pPr>
                        <w:spacing w:line="276" w:lineRule="auto"/>
                        <w:rPr>
                          <w:rFonts w:ascii="Cambria" w:hAnsi="Cambria" w:cs="Arial"/>
                          <w:color w:val="0D0D0D"/>
                          <w:lang w:val="es-AR"/>
                        </w:rPr>
                      </w:pPr>
                      <w:r w:rsidRPr="001352BB">
                        <w:rPr>
                          <w:rFonts w:ascii="Cambria" w:hAnsi="Cambria" w:cs="Arial"/>
                          <w:color w:val="0D0D0D"/>
                          <w:lang w:val="es-AR"/>
                        </w:rPr>
                        <w:t>DENYS DEL CARMEN OLIVERA DE MONTES AND FAMILY</w:t>
                      </w:r>
                    </w:p>
                    <w:p w14:paraId="07E90BFE" w14:textId="1BD4E4F6" w:rsidR="005B52B0" w:rsidRPr="00C57C8E" w:rsidRDefault="00C57C8E"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1606B9CC" w:rsidR="00627C9F" w:rsidRPr="001352BB" w:rsidRDefault="00627C9F" w:rsidP="002C1641">
                            <w:pPr>
                              <w:jc w:val="right"/>
                              <w:rPr>
                                <w:rFonts w:asciiTheme="minorHAnsi" w:hAnsiTheme="minorHAnsi"/>
                                <w:color w:val="FFFFFF" w:themeColor="background1"/>
                                <w:sz w:val="22"/>
                              </w:rPr>
                            </w:pPr>
                            <w:r w:rsidRPr="001352BB">
                              <w:rPr>
                                <w:rFonts w:asciiTheme="minorHAnsi" w:hAnsiTheme="minorHAnsi"/>
                                <w:color w:val="FFFFFF" w:themeColor="background1"/>
                                <w:sz w:val="22"/>
                              </w:rPr>
                              <w:t>OEA/Ser.L/V/II</w:t>
                            </w:r>
                          </w:p>
                          <w:p w14:paraId="330BBEF7" w14:textId="6DC7DA22" w:rsidR="00627C9F" w:rsidRPr="001352BB" w:rsidRDefault="00627C9F" w:rsidP="002C1641">
                            <w:pPr>
                              <w:jc w:val="right"/>
                              <w:rPr>
                                <w:rFonts w:asciiTheme="minorHAnsi" w:hAnsiTheme="minorHAnsi"/>
                                <w:color w:val="FFFFFF" w:themeColor="background1"/>
                                <w:sz w:val="22"/>
                              </w:rPr>
                            </w:pPr>
                            <w:r w:rsidRPr="001352BB">
                              <w:rPr>
                                <w:rFonts w:asciiTheme="minorHAnsi" w:hAnsiTheme="minorHAnsi"/>
                                <w:color w:val="FFFFFF" w:themeColor="background1"/>
                                <w:sz w:val="22"/>
                              </w:rPr>
                              <w:t xml:space="preserve">Doc. </w:t>
                            </w:r>
                            <w:r w:rsidR="00FB73C6" w:rsidRPr="001352BB">
                              <w:rPr>
                                <w:rFonts w:asciiTheme="minorHAnsi" w:hAnsiTheme="minorHAnsi"/>
                                <w:color w:val="FFFFFF" w:themeColor="background1"/>
                                <w:sz w:val="22"/>
                              </w:rPr>
                              <w:t>168</w:t>
                            </w:r>
                          </w:p>
                          <w:p w14:paraId="64A9D0B0" w14:textId="6B14827B" w:rsidR="00627C9F" w:rsidRPr="004B7EB6" w:rsidRDefault="00FB73C6"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sidR="009B4F07">
                              <w:rPr>
                                <w:rFonts w:asciiTheme="minorHAnsi" w:hAnsiTheme="minorHAnsi"/>
                                <w:color w:val="FFFFFF" w:themeColor="background1"/>
                                <w:sz w:val="22"/>
                              </w:rPr>
                              <w:t xml:space="preserve"> October</w:t>
                            </w:r>
                            <w:r w:rsidR="00627C9F" w:rsidRPr="004B7EB6">
                              <w:rPr>
                                <w:rFonts w:asciiTheme="minorHAnsi" w:hAnsiTheme="minorHAnsi"/>
                                <w:color w:val="FFFFFF" w:themeColor="background1"/>
                                <w:sz w:val="22"/>
                              </w:rPr>
                              <w:t xml:space="preserve"> 20</w:t>
                            </w:r>
                            <w:r w:rsidR="0086668F">
                              <w:rPr>
                                <w:rFonts w:asciiTheme="minorHAnsi" w:hAnsiTheme="minorHAnsi"/>
                                <w:color w:val="FFFFFF" w:themeColor="background1"/>
                                <w:sz w:val="22"/>
                              </w:rPr>
                              <w:t>2</w:t>
                            </w:r>
                            <w:r w:rsidR="00627C9F" w:rsidRPr="004B7EB6">
                              <w:rPr>
                                <w:rFonts w:asciiTheme="minorHAnsi" w:hAnsiTheme="minorHAnsi"/>
                                <w:color w:val="FFFFFF" w:themeColor="background1"/>
                                <w:sz w:val="22"/>
                              </w:rPr>
                              <w:t>4</w:t>
                            </w:r>
                          </w:p>
                          <w:p w14:paraId="61B7CA4D" w14:textId="126F8E63"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F2A5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1606B9CC" w:rsidR="00627C9F" w:rsidRPr="001352BB" w:rsidRDefault="00627C9F" w:rsidP="002C1641">
                      <w:pPr>
                        <w:jc w:val="right"/>
                        <w:rPr>
                          <w:rFonts w:asciiTheme="minorHAnsi" w:hAnsiTheme="minorHAnsi"/>
                          <w:color w:val="FFFFFF" w:themeColor="background1"/>
                          <w:sz w:val="22"/>
                        </w:rPr>
                      </w:pPr>
                      <w:r w:rsidRPr="001352BB">
                        <w:rPr>
                          <w:rFonts w:asciiTheme="minorHAnsi" w:hAnsiTheme="minorHAnsi"/>
                          <w:color w:val="FFFFFF" w:themeColor="background1"/>
                          <w:sz w:val="22"/>
                        </w:rPr>
                        <w:t>OEA/Ser.L/V/II</w:t>
                      </w:r>
                    </w:p>
                    <w:p w14:paraId="330BBEF7" w14:textId="6DC7DA22" w:rsidR="00627C9F" w:rsidRPr="001352BB" w:rsidRDefault="00627C9F" w:rsidP="002C1641">
                      <w:pPr>
                        <w:jc w:val="right"/>
                        <w:rPr>
                          <w:rFonts w:asciiTheme="minorHAnsi" w:hAnsiTheme="minorHAnsi"/>
                          <w:color w:val="FFFFFF" w:themeColor="background1"/>
                          <w:sz w:val="22"/>
                        </w:rPr>
                      </w:pPr>
                      <w:r w:rsidRPr="001352BB">
                        <w:rPr>
                          <w:rFonts w:asciiTheme="minorHAnsi" w:hAnsiTheme="minorHAnsi"/>
                          <w:color w:val="FFFFFF" w:themeColor="background1"/>
                          <w:sz w:val="22"/>
                        </w:rPr>
                        <w:t xml:space="preserve">Doc. </w:t>
                      </w:r>
                      <w:r w:rsidR="00FB73C6" w:rsidRPr="001352BB">
                        <w:rPr>
                          <w:rFonts w:asciiTheme="minorHAnsi" w:hAnsiTheme="minorHAnsi"/>
                          <w:color w:val="FFFFFF" w:themeColor="background1"/>
                          <w:sz w:val="22"/>
                        </w:rPr>
                        <w:t>168</w:t>
                      </w:r>
                    </w:p>
                    <w:p w14:paraId="64A9D0B0" w14:textId="6B14827B" w:rsidR="00627C9F" w:rsidRPr="004B7EB6" w:rsidRDefault="00FB73C6"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sidR="009B4F07">
                        <w:rPr>
                          <w:rFonts w:asciiTheme="minorHAnsi" w:hAnsiTheme="minorHAnsi"/>
                          <w:color w:val="FFFFFF" w:themeColor="background1"/>
                          <w:sz w:val="22"/>
                        </w:rPr>
                        <w:t xml:space="preserve"> October</w:t>
                      </w:r>
                      <w:r w:rsidR="00627C9F" w:rsidRPr="004B7EB6">
                        <w:rPr>
                          <w:rFonts w:asciiTheme="minorHAnsi" w:hAnsiTheme="minorHAnsi"/>
                          <w:color w:val="FFFFFF" w:themeColor="background1"/>
                          <w:sz w:val="22"/>
                        </w:rPr>
                        <w:t xml:space="preserve"> 20</w:t>
                      </w:r>
                      <w:r w:rsidR="0086668F">
                        <w:rPr>
                          <w:rFonts w:asciiTheme="minorHAnsi" w:hAnsiTheme="minorHAnsi"/>
                          <w:color w:val="FFFFFF" w:themeColor="background1"/>
                          <w:sz w:val="22"/>
                        </w:rPr>
                        <w:t>2</w:t>
                      </w:r>
                      <w:r w:rsidR="00627C9F" w:rsidRPr="004B7EB6">
                        <w:rPr>
                          <w:rFonts w:asciiTheme="minorHAnsi" w:hAnsiTheme="minorHAnsi"/>
                          <w:color w:val="FFFFFF" w:themeColor="background1"/>
                          <w:sz w:val="22"/>
                        </w:rPr>
                        <w:t>4</w:t>
                      </w:r>
                    </w:p>
                    <w:p w14:paraId="61B7CA4D" w14:textId="126F8E63"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F2A5C">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62BEE825"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ED766E">
                              <w:rPr>
                                <w:rFonts w:asciiTheme="majorHAnsi" w:hAnsiTheme="majorHAnsi"/>
                                <w:color w:val="0D0D0D" w:themeColor="text1" w:themeTint="F2"/>
                                <w:sz w:val="18"/>
                                <w:szCs w:val="22"/>
                              </w:rPr>
                              <w:t>October 24</w:t>
                            </w:r>
                            <w:r w:rsidRPr="003C32BC">
                              <w:rPr>
                                <w:rFonts w:asciiTheme="majorHAnsi" w:hAnsiTheme="majorHAnsi"/>
                                <w:color w:val="0D0D0D" w:themeColor="text1" w:themeTint="F2"/>
                                <w:sz w:val="18"/>
                                <w:szCs w:val="22"/>
                              </w:rPr>
                              <w:t>, 20</w:t>
                            </w:r>
                            <w:r w:rsidR="00C57C8E">
                              <w:rPr>
                                <w:rFonts w:asciiTheme="majorHAnsi" w:hAnsiTheme="majorHAnsi"/>
                                <w:color w:val="0D0D0D" w:themeColor="text1" w:themeTint="F2"/>
                                <w:sz w:val="18"/>
                                <w:szCs w:val="22"/>
                              </w:rPr>
                              <w:t>2</w:t>
                            </w:r>
                            <w:r w:rsidRPr="003C32BC">
                              <w:rPr>
                                <w:rFonts w:asciiTheme="majorHAnsi" w:hAnsiTheme="majorHAnsi"/>
                                <w:color w:val="0D0D0D" w:themeColor="text1" w:themeTint="F2"/>
                                <w:sz w:val="18"/>
                                <w:szCs w:val="22"/>
                              </w:rPr>
                              <w:t>4</w:t>
                            </w:r>
                            <w:r w:rsidR="00ED766E">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62BEE825"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ED766E">
                        <w:rPr>
                          <w:rFonts w:asciiTheme="majorHAnsi" w:hAnsiTheme="majorHAnsi"/>
                          <w:color w:val="0D0D0D" w:themeColor="text1" w:themeTint="F2"/>
                          <w:sz w:val="18"/>
                          <w:szCs w:val="22"/>
                        </w:rPr>
                        <w:t>October 24</w:t>
                      </w:r>
                      <w:r w:rsidRPr="003C32BC">
                        <w:rPr>
                          <w:rFonts w:asciiTheme="majorHAnsi" w:hAnsiTheme="majorHAnsi"/>
                          <w:color w:val="0D0D0D" w:themeColor="text1" w:themeTint="F2"/>
                          <w:sz w:val="18"/>
                          <w:szCs w:val="22"/>
                        </w:rPr>
                        <w:t>, 20</w:t>
                      </w:r>
                      <w:r w:rsidR="00C57C8E">
                        <w:rPr>
                          <w:rFonts w:asciiTheme="majorHAnsi" w:hAnsiTheme="majorHAnsi"/>
                          <w:color w:val="0D0D0D" w:themeColor="text1" w:themeTint="F2"/>
                          <w:sz w:val="18"/>
                          <w:szCs w:val="22"/>
                        </w:rPr>
                        <w:t>2</w:t>
                      </w:r>
                      <w:r w:rsidRPr="003C32BC">
                        <w:rPr>
                          <w:rFonts w:asciiTheme="majorHAnsi" w:hAnsiTheme="majorHAnsi"/>
                          <w:color w:val="0D0D0D" w:themeColor="text1" w:themeTint="F2"/>
                          <w:sz w:val="18"/>
                          <w:szCs w:val="22"/>
                        </w:rPr>
                        <w:t>4</w:t>
                      </w:r>
                      <w:r w:rsidR="00ED766E">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12934D61" w:rsidR="00F644E6" w:rsidRPr="00344185" w:rsidRDefault="00F644E6" w:rsidP="00F644E6">
                            <w:pPr>
                              <w:spacing w:line="276" w:lineRule="auto"/>
                              <w:rPr>
                                <w:rFonts w:asciiTheme="majorHAnsi" w:hAnsiTheme="majorHAnsi"/>
                                <w:sz w:val="18"/>
                              </w:rPr>
                            </w:pPr>
                            <w:r w:rsidRPr="00344185">
                              <w:rPr>
                                <w:rFonts w:asciiTheme="majorHAnsi" w:hAnsiTheme="majorHAnsi"/>
                                <w:b/>
                                <w:sz w:val="18"/>
                              </w:rPr>
                              <w:t xml:space="preserve">Cite as: </w:t>
                            </w:r>
                            <w:r w:rsidRPr="00344185">
                              <w:rPr>
                                <w:rFonts w:asciiTheme="majorHAnsi" w:hAnsiTheme="majorHAnsi"/>
                                <w:sz w:val="18"/>
                              </w:rPr>
                              <w:t xml:space="preserve">IACHR, Report No. </w:t>
                            </w:r>
                            <w:r w:rsidR="00ED766E" w:rsidRPr="00344185">
                              <w:rPr>
                                <w:rFonts w:asciiTheme="majorHAnsi" w:hAnsiTheme="majorHAnsi"/>
                                <w:sz w:val="18"/>
                              </w:rPr>
                              <w:t>159</w:t>
                            </w:r>
                            <w:r w:rsidRPr="00344185">
                              <w:rPr>
                                <w:rFonts w:asciiTheme="majorHAnsi" w:hAnsiTheme="majorHAnsi"/>
                                <w:sz w:val="18"/>
                              </w:rPr>
                              <w:t>/</w:t>
                            </w:r>
                            <w:r w:rsidR="00C57C8E" w:rsidRPr="00344185">
                              <w:rPr>
                                <w:rFonts w:asciiTheme="majorHAnsi" w:hAnsiTheme="majorHAnsi"/>
                                <w:sz w:val="18"/>
                              </w:rPr>
                              <w:t>24</w:t>
                            </w:r>
                            <w:r w:rsidRPr="00344185">
                              <w:rPr>
                                <w:rFonts w:asciiTheme="majorHAnsi" w:hAnsiTheme="majorHAnsi"/>
                                <w:sz w:val="18"/>
                              </w:rPr>
                              <w:t xml:space="preserve">, Case </w:t>
                            </w:r>
                            <w:r w:rsidR="00C57C8E" w:rsidRPr="00344185">
                              <w:rPr>
                                <w:rFonts w:asciiTheme="majorHAnsi" w:hAnsiTheme="majorHAnsi"/>
                                <w:sz w:val="18"/>
                              </w:rPr>
                              <w:t>13.892</w:t>
                            </w:r>
                            <w:r w:rsidR="00DB1DEA" w:rsidRPr="00344185">
                              <w:rPr>
                                <w:rFonts w:asciiTheme="majorHAnsi" w:hAnsiTheme="majorHAnsi"/>
                                <w:sz w:val="18"/>
                              </w:rPr>
                              <w:t>,</w:t>
                            </w:r>
                            <w:r w:rsidRPr="00344185">
                              <w:rPr>
                                <w:rFonts w:asciiTheme="majorHAnsi" w:hAnsiTheme="majorHAnsi"/>
                                <w:sz w:val="18"/>
                              </w:rPr>
                              <w:t xml:space="preserve"> Friendly Settlement</w:t>
                            </w:r>
                            <w:r w:rsidR="00DB1DEA" w:rsidRPr="00344185">
                              <w:rPr>
                                <w:rFonts w:asciiTheme="majorHAnsi" w:hAnsiTheme="majorHAnsi"/>
                                <w:sz w:val="18"/>
                              </w:rPr>
                              <w:t>,</w:t>
                            </w:r>
                            <w:r w:rsidR="00C57C8E" w:rsidRPr="00344185">
                              <w:rPr>
                                <w:rFonts w:asciiTheme="majorHAnsi" w:hAnsiTheme="majorHAnsi"/>
                                <w:sz w:val="18"/>
                              </w:rPr>
                              <w:t xml:space="preserve"> Denys del Carmen Olivera de Montes and family</w:t>
                            </w:r>
                            <w:r w:rsidR="00DB1DEA" w:rsidRPr="00344185">
                              <w:rPr>
                                <w:rFonts w:asciiTheme="majorHAnsi" w:hAnsiTheme="majorHAnsi"/>
                                <w:sz w:val="18"/>
                              </w:rPr>
                              <w:t>,</w:t>
                            </w:r>
                            <w:r w:rsidR="00ED766E" w:rsidRPr="00344185">
                              <w:rPr>
                                <w:rFonts w:asciiTheme="majorHAnsi" w:hAnsiTheme="majorHAnsi"/>
                                <w:sz w:val="18"/>
                              </w:rPr>
                              <w:t xml:space="preserve"> </w:t>
                            </w:r>
                            <w:r w:rsidR="00C57C8E" w:rsidRPr="00344185">
                              <w:rPr>
                                <w:rFonts w:asciiTheme="majorHAnsi" w:hAnsiTheme="majorHAnsi"/>
                                <w:sz w:val="18"/>
                              </w:rPr>
                              <w:t>Colombia</w:t>
                            </w:r>
                            <w:r w:rsidR="00DB1DEA" w:rsidRPr="00344185">
                              <w:rPr>
                                <w:rFonts w:asciiTheme="majorHAnsi" w:hAnsiTheme="majorHAnsi"/>
                                <w:sz w:val="18"/>
                              </w:rPr>
                              <w:t>,</w:t>
                            </w:r>
                            <w:r w:rsidRPr="00344185">
                              <w:rPr>
                                <w:rFonts w:asciiTheme="majorHAnsi" w:hAnsiTheme="majorHAnsi"/>
                                <w:sz w:val="18"/>
                              </w:rPr>
                              <w:t xml:space="preserve"> </w:t>
                            </w:r>
                            <w:r w:rsidR="0045149F" w:rsidRPr="00344185">
                              <w:rPr>
                                <w:rFonts w:asciiTheme="majorHAnsi" w:hAnsiTheme="majorHAnsi"/>
                                <w:sz w:val="18"/>
                              </w:rPr>
                              <w:t>October 24, 2024</w:t>
                            </w:r>
                            <w:r w:rsidRPr="00344185">
                              <w:rPr>
                                <w:rFonts w:asciiTheme="majorHAnsi" w:hAnsiTheme="majorHAns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12934D61" w:rsidR="00F644E6" w:rsidRPr="00344185" w:rsidRDefault="00F644E6" w:rsidP="00F644E6">
                      <w:pPr>
                        <w:spacing w:line="276" w:lineRule="auto"/>
                        <w:rPr>
                          <w:rFonts w:asciiTheme="majorHAnsi" w:hAnsiTheme="majorHAnsi"/>
                          <w:sz w:val="18"/>
                        </w:rPr>
                      </w:pPr>
                      <w:r w:rsidRPr="00344185">
                        <w:rPr>
                          <w:rFonts w:asciiTheme="majorHAnsi" w:hAnsiTheme="majorHAnsi"/>
                          <w:b/>
                          <w:sz w:val="18"/>
                        </w:rPr>
                        <w:t xml:space="preserve">Cite as: </w:t>
                      </w:r>
                      <w:r w:rsidRPr="00344185">
                        <w:rPr>
                          <w:rFonts w:asciiTheme="majorHAnsi" w:hAnsiTheme="majorHAnsi"/>
                          <w:sz w:val="18"/>
                        </w:rPr>
                        <w:t xml:space="preserve">IACHR, Report No. </w:t>
                      </w:r>
                      <w:r w:rsidR="00ED766E" w:rsidRPr="00344185">
                        <w:rPr>
                          <w:rFonts w:asciiTheme="majorHAnsi" w:hAnsiTheme="majorHAnsi"/>
                          <w:sz w:val="18"/>
                        </w:rPr>
                        <w:t>159</w:t>
                      </w:r>
                      <w:r w:rsidRPr="00344185">
                        <w:rPr>
                          <w:rFonts w:asciiTheme="majorHAnsi" w:hAnsiTheme="majorHAnsi"/>
                          <w:sz w:val="18"/>
                        </w:rPr>
                        <w:t>/</w:t>
                      </w:r>
                      <w:r w:rsidR="00C57C8E" w:rsidRPr="00344185">
                        <w:rPr>
                          <w:rFonts w:asciiTheme="majorHAnsi" w:hAnsiTheme="majorHAnsi"/>
                          <w:sz w:val="18"/>
                        </w:rPr>
                        <w:t>24</w:t>
                      </w:r>
                      <w:r w:rsidRPr="00344185">
                        <w:rPr>
                          <w:rFonts w:asciiTheme="majorHAnsi" w:hAnsiTheme="majorHAnsi"/>
                          <w:sz w:val="18"/>
                        </w:rPr>
                        <w:t xml:space="preserve">, Case </w:t>
                      </w:r>
                      <w:r w:rsidR="00C57C8E" w:rsidRPr="00344185">
                        <w:rPr>
                          <w:rFonts w:asciiTheme="majorHAnsi" w:hAnsiTheme="majorHAnsi"/>
                          <w:sz w:val="18"/>
                        </w:rPr>
                        <w:t>13.892</w:t>
                      </w:r>
                      <w:r w:rsidR="00DB1DEA" w:rsidRPr="00344185">
                        <w:rPr>
                          <w:rFonts w:asciiTheme="majorHAnsi" w:hAnsiTheme="majorHAnsi"/>
                          <w:sz w:val="18"/>
                        </w:rPr>
                        <w:t>,</w:t>
                      </w:r>
                      <w:r w:rsidRPr="00344185">
                        <w:rPr>
                          <w:rFonts w:asciiTheme="majorHAnsi" w:hAnsiTheme="majorHAnsi"/>
                          <w:sz w:val="18"/>
                        </w:rPr>
                        <w:t xml:space="preserve"> Friendly Settlement</w:t>
                      </w:r>
                      <w:r w:rsidR="00DB1DEA" w:rsidRPr="00344185">
                        <w:rPr>
                          <w:rFonts w:asciiTheme="majorHAnsi" w:hAnsiTheme="majorHAnsi"/>
                          <w:sz w:val="18"/>
                        </w:rPr>
                        <w:t>,</w:t>
                      </w:r>
                      <w:r w:rsidR="00C57C8E" w:rsidRPr="00344185">
                        <w:rPr>
                          <w:rFonts w:asciiTheme="majorHAnsi" w:hAnsiTheme="majorHAnsi"/>
                          <w:sz w:val="18"/>
                        </w:rPr>
                        <w:t xml:space="preserve"> Denys del Carmen Olivera de Montes and family</w:t>
                      </w:r>
                      <w:r w:rsidR="00DB1DEA" w:rsidRPr="00344185">
                        <w:rPr>
                          <w:rFonts w:asciiTheme="majorHAnsi" w:hAnsiTheme="majorHAnsi"/>
                          <w:sz w:val="18"/>
                        </w:rPr>
                        <w:t>,</w:t>
                      </w:r>
                      <w:r w:rsidR="00ED766E" w:rsidRPr="00344185">
                        <w:rPr>
                          <w:rFonts w:asciiTheme="majorHAnsi" w:hAnsiTheme="majorHAnsi"/>
                          <w:sz w:val="18"/>
                        </w:rPr>
                        <w:t xml:space="preserve"> </w:t>
                      </w:r>
                      <w:r w:rsidR="00C57C8E" w:rsidRPr="00344185">
                        <w:rPr>
                          <w:rFonts w:asciiTheme="majorHAnsi" w:hAnsiTheme="majorHAnsi"/>
                          <w:sz w:val="18"/>
                        </w:rPr>
                        <w:t>Colombia</w:t>
                      </w:r>
                      <w:r w:rsidR="00DB1DEA" w:rsidRPr="00344185">
                        <w:rPr>
                          <w:rFonts w:asciiTheme="majorHAnsi" w:hAnsiTheme="majorHAnsi"/>
                          <w:sz w:val="18"/>
                        </w:rPr>
                        <w:t>,</w:t>
                      </w:r>
                      <w:r w:rsidRPr="00344185">
                        <w:rPr>
                          <w:rFonts w:asciiTheme="majorHAnsi" w:hAnsiTheme="majorHAnsi"/>
                          <w:sz w:val="18"/>
                        </w:rPr>
                        <w:t xml:space="preserve"> </w:t>
                      </w:r>
                      <w:r w:rsidR="0045149F" w:rsidRPr="00344185">
                        <w:rPr>
                          <w:rFonts w:asciiTheme="majorHAnsi" w:hAnsiTheme="majorHAnsi"/>
                          <w:sz w:val="18"/>
                        </w:rPr>
                        <w:t>October 24, 2024</w:t>
                      </w:r>
                      <w:r w:rsidRPr="00344185">
                        <w:rPr>
                          <w:rFonts w:asciiTheme="majorHAnsi" w:hAnsiTheme="majorHAnsi"/>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7CEC160C" w:rsidR="006311DA" w:rsidRPr="0045149F" w:rsidRDefault="006311DA" w:rsidP="00145EDC">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lastRenderedPageBreak/>
        <w:t xml:space="preserve">REPORT No. </w:t>
      </w:r>
      <w:r w:rsidR="0045149F">
        <w:rPr>
          <w:rFonts w:asciiTheme="majorHAnsi" w:hAnsiTheme="majorHAnsi"/>
          <w:b/>
          <w:sz w:val="18"/>
          <w:szCs w:val="20"/>
        </w:rPr>
        <w:t>159</w:t>
      </w:r>
      <w:r w:rsidRPr="0045149F">
        <w:rPr>
          <w:rFonts w:asciiTheme="majorHAnsi" w:hAnsiTheme="majorHAnsi"/>
          <w:b/>
          <w:sz w:val="18"/>
          <w:szCs w:val="20"/>
        </w:rPr>
        <w:t>/</w:t>
      </w:r>
      <w:r w:rsidR="00C57C8E" w:rsidRPr="0045149F">
        <w:rPr>
          <w:rFonts w:asciiTheme="majorHAnsi" w:hAnsiTheme="majorHAnsi"/>
          <w:b/>
          <w:sz w:val="18"/>
          <w:szCs w:val="20"/>
        </w:rPr>
        <w:t>2</w:t>
      </w:r>
      <w:r w:rsidRPr="0045149F">
        <w:rPr>
          <w:rFonts w:asciiTheme="majorHAnsi" w:hAnsiTheme="majorHAnsi"/>
          <w:b/>
          <w:sz w:val="18"/>
          <w:szCs w:val="20"/>
        </w:rPr>
        <w:t>4</w:t>
      </w:r>
    </w:p>
    <w:p w14:paraId="225983D3" w14:textId="075D0602" w:rsidR="006311DA" w:rsidRPr="0045149F" w:rsidRDefault="006311DA" w:rsidP="00145EDC">
      <w:pPr>
        <w:tabs>
          <w:tab w:val="center" w:pos="5400"/>
        </w:tabs>
        <w:suppressAutoHyphens/>
        <w:spacing w:line="276" w:lineRule="auto"/>
        <w:jc w:val="center"/>
        <w:rPr>
          <w:rFonts w:asciiTheme="majorHAnsi" w:hAnsiTheme="majorHAnsi"/>
          <w:b/>
          <w:sz w:val="18"/>
          <w:szCs w:val="20"/>
        </w:rPr>
      </w:pPr>
      <w:r w:rsidRPr="0045149F">
        <w:rPr>
          <w:rFonts w:asciiTheme="majorHAnsi" w:hAnsiTheme="majorHAnsi"/>
          <w:b/>
          <w:sz w:val="18"/>
          <w:szCs w:val="20"/>
        </w:rPr>
        <w:t xml:space="preserve">CASE </w:t>
      </w:r>
      <w:r w:rsidR="00C57C8E" w:rsidRPr="0045149F">
        <w:rPr>
          <w:rFonts w:asciiTheme="majorHAnsi" w:hAnsiTheme="majorHAnsi"/>
          <w:b/>
          <w:sz w:val="18"/>
          <w:szCs w:val="20"/>
        </w:rPr>
        <w:t>13.892</w:t>
      </w:r>
    </w:p>
    <w:p w14:paraId="77C6A460" w14:textId="60BB29FA" w:rsidR="006311DA" w:rsidRPr="0045149F" w:rsidRDefault="006311DA" w:rsidP="00145EDC">
      <w:pPr>
        <w:tabs>
          <w:tab w:val="center" w:pos="5400"/>
        </w:tabs>
        <w:suppressAutoHyphens/>
        <w:spacing w:line="276" w:lineRule="auto"/>
        <w:jc w:val="center"/>
        <w:rPr>
          <w:rFonts w:asciiTheme="majorHAnsi" w:hAnsiTheme="majorHAnsi"/>
          <w:sz w:val="18"/>
          <w:szCs w:val="20"/>
        </w:rPr>
      </w:pPr>
      <w:r w:rsidRPr="0045149F">
        <w:rPr>
          <w:rFonts w:asciiTheme="majorHAnsi" w:hAnsiTheme="majorHAnsi"/>
          <w:sz w:val="18"/>
          <w:szCs w:val="20"/>
        </w:rPr>
        <w:t>FRIENDLY SETTLEMENT</w:t>
      </w:r>
    </w:p>
    <w:p w14:paraId="1A9CFEB9" w14:textId="4191B750" w:rsidR="006311DA" w:rsidRPr="0045149F" w:rsidRDefault="00C57C8E" w:rsidP="00145EDC">
      <w:pPr>
        <w:tabs>
          <w:tab w:val="center" w:pos="5400"/>
        </w:tabs>
        <w:suppressAutoHyphens/>
        <w:spacing w:line="276" w:lineRule="auto"/>
        <w:jc w:val="center"/>
        <w:rPr>
          <w:rFonts w:asciiTheme="majorHAnsi" w:hAnsiTheme="majorHAnsi"/>
          <w:sz w:val="18"/>
          <w:szCs w:val="20"/>
        </w:rPr>
      </w:pPr>
      <w:r w:rsidRPr="0045149F">
        <w:rPr>
          <w:rFonts w:asciiTheme="majorHAnsi" w:hAnsiTheme="majorHAnsi"/>
          <w:sz w:val="18"/>
          <w:szCs w:val="20"/>
        </w:rPr>
        <w:t>DENYS DEL CARMEN OLIVERA DE MONTES AND FAMILY</w:t>
      </w:r>
    </w:p>
    <w:p w14:paraId="13E4BED3" w14:textId="2192851B" w:rsidR="003C32BC" w:rsidRPr="00FC3EB4" w:rsidRDefault="00C57C8E" w:rsidP="00145EDC">
      <w:pPr>
        <w:tabs>
          <w:tab w:val="center" w:pos="5400"/>
        </w:tabs>
        <w:suppressAutoHyphens/>
        <w:spacing w:line="276" w:lineRule="auto"/>
        <w:jc w:val="center"/>
        <w:rPr>
          <w:rFonts w:asciiTheme="majorHAnsi" w:hAnsiTheme="majorHAnsi"/>
          <w:sz w:val="18"/>
          <w:szCs w:val="20"/>
        </w:rPr>
      </w:pPr>
      <w:r w:rsidRPr="0045149F">
        <w:rPr>
          <w:rFonts w:asciiTheme="majorHAnsi" w:hAnsiTheme="majorHAnsi"/>
          <w:sz w:val="18"/>
          <w:szCs w:val="20"/>
        </w:rPr>
        <w:t>COLOMBIA</w:t>
      </w:r>
      <w:r w:rsidR="007E04AC" w:rsidRPr="0045149F">
        <w:rPr>
          <w:rStyle w:val="FootnoteReference"/>
          <w:rFonts w:asciiTheme="majorHAnsi" w:hAnsiTheme="majorHAnsi"/>
          <w:sz w:val="18"/>
          <w:szCs w:val="20"/>
        </w:rPr>
        <w:footnoteReference w:id="2"/>
      </w:r>
      <w:r w:rsidR="003414AC" w:rsidRPr="0045149F">
        <w:rPr>
          <w:rFonts w:asciiTheme="majorHAnsi" w:hAnsiTheme="majorHAnsi"/>
          <w:sz w:val="18"/>
          <w:szCs w:val="20"/>
        </w:rPr>
        <w:br/>
      </w:r>
      <w:r w:rsidR="0045149F" w:rsidRPr="0045149F">
        <w:rPr>
          <w:rFonts w:asciiTheme="majorHAnsi" w:hAnsiTheme="majorHAnsi"/>
          <w:sz w:val="18"/>
          <w:szCs w:val="20"/>
        </w:rPr>
        <w:t>OCTOBER 24, 2024</w:t>
      </w:r>
    </w:p>
    <w:p w14:paraId="4979604C" w14:textId="77777777" w:rsidR="007607C4" w:rsidRDefault="007607C4" w:rsidP="00145EDC">
      <w:pPr>
        <w:tabs>
          <w:tab w:val="center" w:pos="5400"/>
        </w:tabs>
        <w:suppressAutoHyphens/>
        <w:spacing w:line="276" w:lineRule="auto"/>
        <w:rPr>
          <w:rFonts w:asciiTheme="majorHAnsi" w:hAnsiTheme="majorHAnsi"/>
          <w:sz w:val="20"/>
          <w:szCs w:val="20"/>
        </w:rPr>
      </w:pPr>
    </w:p>
    <w:p w14:paraId="7F5F3AB7" w14:textId="77777777" w:rsidR="00F55F06" w:rsidRPr="00FC3EB4" w:rsidRDefault="00F55F06" w:rsidP="00145EDC">
      <w:pPr>
        <w:tabs>
          <w:tab w:val="center" w:pos="5400"/>
        </w:tabs>
        <w:suppressAutoHyphens/>
        <w:spacing w:line="276" w:lineRule="auto"/>
        <w:rPr>
          <w:rFonts w:asciiTheme="majorHAnsi" w:hAnsiTheme="majorHAnsi"/>
          <w:sz w:val="20"/>
          <w:szCs w:val="20"/>
        </w:rPr>
      </w:pPr>
    </w:p>
    <w:p w14:paraId="0574AB1A" w14:textId="77777777" w:rsidR="00FA675D" w:rsidRPr="004B5146" w:rsidRDefault="00FA675D" w:rsidP="007E04A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4B5146">
        <w:rPr>
          <w:rFonts w:eastAsia="Times New Roman"/>
          <w:b/>
          <w:bCs/>
          <w:kern w:val="36"/>
          <w:sz w:val="20"/>
          <w:szCs w:val="20"/>
          <w:lang w:eastAsia="es-BO"/>
        </w:rPr>
        <w:t xml:space="preserve">SUMMARY </w:t>
      </w:r>
      <w:r w:rsidRPr="004B5146">
        <w:rPr>
          <w:b/>
          <w:bCs/>
          <w:sz w:val="20"/>
          <w:szCs w:val="20"/>
        </w:rPr>
        <w:t>AND RELEVANT PROCEEDINGS OF THE FRIENDLY SETTLEMENT PROCESS</w:t>
      </w:r>
      <w:r w:rsidRPr="004B5146">
        <w:rPr>
          <w:rFonts w:eastAsia="MS Mincho" w:cstheme="minorHAnsi"/>
          <w:b/>
          <w:color w:val="000000" w:themeColor="text1"/>
          <w:sz w:val="20"/>
          <w:szCs w:val="20"/>
        </w:rPr>
        <w:t xml:space="preserve"> </w:t>
      </w:r>
    </w:p>
    <w:p w14:paraId="67D4BDB0" w14:textId="77777777" w:rsidR="00DA37B6" w:rsidRPr="00C57C8E" w:rsidRDefault="00DA37B6" w:rsidP="00C57C8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04744D32" w14:textId="21B791FC" w:rsidR="00320443" w:rsidRPr="005913D6" w:rsidRDefault="00320443" w:rsidP="00320443">
      <w:pPr>
        <w:pStyle w:val="paragraph"/>
        <w:numPr>
          <w:ilvl w:val="0"/>
          <w:numId w:val="58"/>
        </w:numPr>
        <w:tabs>
          <w:tab w:val="clear" w:pos="720"/>
        </w:tabs>
        <w:spacing w:before="0" w:beforeAutospacing="0" w:after="0" w:afterAutospacing="0"/>
        <w:ind w:left="0" w:firstLine="709"/>
        <w:jc w:val="both"/>
        <w:textAlignment w:val="baseline"/>
        <w:rPr>
          <w:rFonts w:ascii="Cambria" w:hAnsi="Cambria" w:cs="Segoe UI"/>
          <w:sz w:val="20"/>
          <w:szCs w:val="20"/>
        </w:rPr>
      </w:pPr>
      <w:r>
        <w:rPr>
          <w:rStyle w:val="normaltextrun"/>
          <w:rFonts w:ascii="Cambria" w:hAnsi="Cambria"/>
          <w:color w:val="000000"/>
          <w:sz w:val="20"/>
        </w:rPr>
        <w:t xml:space="preserve">On </w:t>
      </w:r>
      <w:r>
        <w:rPr>
          <w:rStyle w:val="normaltextrun"/>
          <w:rFonts w:ascii="Cambria" w:hAnsi="Cambria"/>
          <w:sz w:val="20"/>
        </w:rPr>
        <w:t xml:space="preserve">April 22, 2009, the Inter-American Commission on Human Rights (hereinafter "the Commission" or "IACHR") received a petition filed by </w:t>
      </w:r>
      <w:r>
        <w:rPr>
          <w:rFonts w:ascii="Cambria" w:hAnsi="Cambria"/>
          <w:sz w:val="20"/>
        </w:rPr>
        <w:t>Antonio José Contreras Hernández</w:t>
      </w:r>
      <w:r>
        <w:rPr>
          <w:rStyle w:val="normaltextrun"/>
          <w:rFonts w:ascii="Cambria" w:hAnsi="Cambria"/>
          <w:sz w:val="20"/>
        </w:rPr>
        <w:t xml:space="preserve">, on behalf of the family of Denys del Carmen Olivera de Montes, whose representation was later assumed by Francisco Javier Herrera Sánchez </w:t>
      </w:r>
      <w:r>
        <w:rPr>
          <w:rFonts w:ascii="Cambria" w:hAnsi="Cambria"/>
          <w:sz w:val="20"/>
        </w:rPr>
        <w:t xml:space="preserve">(hereinafter </w:t>
      </w:r>
      <w:r w:rsidR="00EB0954" w:rsidRPr="004B5146">
        <w:rPr>
          <w:rFonts w:ascii="Cambria" w:hAnsi="Cambria"/>
          <w:sz w:val="20"/>
        </w:rPr>
        <w:t xml:space="preserve">“the petitioner” or </w:t>
      </w:r>
      <w:r>
        <w:rPr>
          <w:rFonts w:ascii="Cambria" w:hAnsi="Cambria"/>
          <w:sz w:val="20"/>
        </w:rPr>
        <w:t xml:space="preserve">"the petitioning party"). The complaint alleged the international responsibility of the Republic of Colombia (hereinafter "Colombia" or "the State"), for the violation of the human rights </w:t>
      </w:r>
      <w:r w:rsidR="00507F34">
        <w:rPr>
          <w:rFonts w:ascii="Cambria" w:hAnsi="Cambria"/>
          <w:sz w:val="20"/>
        </w:rPr>
        <w:t>en</w:t>
      </w:r>
      <w:r w:rsidR="00C372F6">
        <w:rPr>
          <w:rFonts w:ascii="Cambria" w:hAnsi="Cambria"/>
          <w:sz w:val="20"/>
        </w:rPr>
        <w:t>shrined</w:t>
      </w:r>
      <w:r w:rsidR="00507F34">
        <w:rPr>
          <w:rFonts w:ascii="Cambria" w:hAnsi="Cambria"/>
          <w:sz w:val="20"/>
        </w:rPr>
        <w:t xml:space="preserve"> </w:t>
      </w:r>
      <w:r>
        <w:rPr>
          <w:rFonts w:ascii="Cambria" w:hAnsi="Cambria"/>
          <w:sz w:val="20"/>
        </w:rPr>
        <w:t>in Articles 4 (life), 5 (</w:t>
      </w:r>
      <w:r w:rsidR="007674DF">
        <w:rPr>
          <w:rFonts w:ascii="Cambria" w:hAnsi="Cambria"/>
          <w:sz w:val="20"/>
        </w:rPr>
        <w:t>humane treatment</w:t>
      </w:r>
      <w:r>
        <w:rPr>
          <w:rFonts w:ascii="Cambria" w:hAnsi="Cambria"/>
          <w:sz w:val="20"/>
        </w:rPr>
        <w:t>), 8 (</w:t>
      </w:r>
      <w:r w:rsidR="00C372F6">
        <w:rPr>
          <w:rFonts w:ascii="Cambria" w:hAnsi="Cambria"/>
          <w:sz w:val="20"/>
        </w:rPr>
        <w:t>fair trial</w:t>
      </w:r>
      <w:r>
        <w:rPr>
          <w:rFonts w:ascii="Cambria" w:hAnsi="Cambria"/>
          <w:sz w:val="20"/>
        </w:rPr>
        <w:t>), 17 (</w:t>
      </w:r>
      <w:r w:rsidR="007B6492">
        <w:rPr>
          <w:rFonts w:ascii="Cambria" w:hAnsi="Cambria"/>
          <w:sz w:val="20"/>
        </w:rPr>
        <w:t xml:space="preserve">rights </w:t>
      </w:r>
      <w:r>
        <w:rPr>
          <w:rFonts w:ascii="Cambria" w:hAnsi="Cambria"/>
          <w:sz w:val="20"/>
        </w:rPr>
        <w:t xml:space="preserve">of the family), 22 (movement and residence), and 25 (judicial protection) of the American Convention on Human Rights (hereinafter "American Convention" or "Convention"), in </w:t>
      </w:r>
      <w:r w:rsidR="00E632E4">
        <w:rPr>
          <w:rFonts w:ascii="Cambria" w:hAnsi="Cambria"/>
          <w:sz w:val="20"/>
        </w:rPr>
        <w:t xml:space="preserve">conjunction </w:t>
      </w:r>
      <w:r>
        <w:rPr>
          <w:rFonts w:ascii="Cambria" w:hAnsi="Cambria"/>
          <w:sz w:val="20"/>
        </w:rPr>
        <w:t>to Article 1.1 (obligation to respect rights) of the same instrument,</w:t>
      </w:r>
      <w:r>
        <w:rPr>
          <w:rStyle w:val="normaltextrun"/>
          <w:rFonts w:ascii="Cambria" w:hAnsi="Cambria"/>
          <w:sz w:val="20"/>
        </w:rPr>
        <w:t xml:space="preserve"> </w:t>
      </w:r>
      <w:r w:rsidR="00CE45ED">
        <w:rPr>
          <w:rStyle w:val="normaltextrun"/>
          <w:rFonts w:ascii="Cambria" w:hAnsi="Cambria"/>
          <w:sz w:val="20"/>
        </w:rPr>
        <w:t xml:space="preserve">as a result </w:t>
      </w:r>
      <w:r w:rsidR="00FB1420">
        <w:rPr>
          <w:rStyle w:val="normaltextrun"/>
          <w:rFonts w:ascii="Cambria" w:hAnsi="Cambria"/>
          <w:sz w:val="20"/>
        </w:rPr>
        <w:t>of</w:t>
      </w:r>
      <w:r w:rsidR="00CE45ED">
        <w:rPr>
          <w:rStyle w:val="normaltextrun"/>
          <w:rFonts w:ascii="Cambria" w:hAnsi="Cambria"/>
          <w:sz w:val="20"/>
        </w:rPr>
        <w:t xml:space="preserve"> the</w:t>
      </w:r>
      <w:r>
        <w:rPr>
          <w:rStyle w:val="normaltextrun"/>
          <w:rFonts w:ascii="Cambria" w:hAnsi="Cambria"/>
          <w:sz w:val="20"/>
        </w:rPr>
        <w:t xml:space="preserve"> failure to investigate the </w:t>
      </w:r>
      <w:r w:rsidR="004534DF">
        <w:rPr>
          <w:rStyle w:val="normaltextrun"/>
          <w:rFonts w:ascii="Cambria" w:hAnsi="Cambria"/>
          <w:sz w:val="20"/>
        </w:rPr>
        <w:t xml:space="preserve">murder </w:t>
      </w:r>
      <w:r>
        <w:rPr>
          <w:rStyle w:val="normaltextrun"/>
          <w:rFonts w:ascii="Cambria" w:hAnsi="Cambria"/>
          <w:sz w:val="20"/>
        </w:rPr>
        <w:t xml:space="preserve">of </w:t>
      </w:r>
      <w:r>
        <w:rPr>
          <w:rFonts w:ascii="Cambria" w:hAnsi="Cambria"/>
          <w:sz w:val="20"/>
        </w:rPr>
        <w:t xml:space="preserve">Denys del Carmen Olivera, Juan José Montes Balasnoa, and Piedad Montes Olivera, as well as the forced displacement of their </w:t>
      </w:r>
      <w:r w:rsidR="004534DF">
        <w:rPr>
          <w:rFonts w:ascii="Cambria" w:hAnsi="Cambria"/>
          <w:sz w:val="20"/>
        </w:rPr>
        <w:t>families</w:t>
      </w:r>
      <w:r>
        <w:rPr>
          <w:rFonts w:ascii="Cambria" w:hAnsi="Cambria"/>
          <w:sz w:val="20"/>
        </w:rPr>
        <w:t>, which resulted in the failure to identify, prosecute, and punish those responsible.</w:t>
      </w:r>
    </w:p>
    <w:p w14:paraId="7CC231D4" w14:textId="77777777" w:rsidR="00320443" w:rsidRPr="000A2C03" w:rsidRDefault="00320443" w:rsidP="00320443">
      <w:pPr>
        <w:pStyle w:val="paragraph"/>
        <w:spacing w:before="0" w:beforeAutospacing="0" w:after="0" w:afterAutospacing="0"/>
        <w:jc w:val="both"/>
        <w:textAlignment w:val="baseline"/>
        <w:rPr>
          <w:rStyle w:val="normaltextrun"/>
          <w:rFonts w:ascii="Cambria" w:hAnsi="Cambria" w:cs="Segoe UI"/>
          <w:sz w:val="20"/>
          <w:szCs w:val="20"/>
          <w:highlight w:val="yellow"/>
        </w:rPr>
      </w:pPr>
    </w:p>
    <w:p w14:paraId="40FE9AD6" w14:textId="7E1DB341" w:rsidR="00320443" w:rsidRPr="005913D6" w:rsidRDefault="00320443" w:rsidP="00320443">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Pr>
          <w:rStyle w:val="normaltextrun"/>
          <w:rFonts w:ascii="Cambria" w:hAnsi="Cambria"/>
          <w:sz w:val="20"/>
        </w:rPr>
        <w:t xml:space="preserve">On August 13, 2019, the Commission issued Admissibility Report No. 212/19, in which it </w:t>
      </w:r>
      <w:r w:rsidR="00553FEB">
        <w:rPr>
          <w:rStyle w:val="normaltextrun"/>
          <w:rFonts w:ascii="Cambria" w:hAnsi="Cambria"/>
          <w:sz w:val="20"/>
        </w:rPr>
        <w:t xml:space="preserve">found </w:t>
      </w:r>
      <w:r>
        <w:rPr>
          <w:rStyle w:val="normaltextrun"/>
          <w:rFonts w:ascii="Cambria" w:hAnsi="Cambria"/>
          <w:sz w:val="20"/>
        </w:rPr>
        <w:t xml:space="preserve">the petition admissible and </w:t>
      </w:r>
      <w:r w:rsidR="00553FEB">
        <w:rPr>
          <w:rStyle w:val="normaltextrun"/>
          <w:rFonts w:ascii="Cambria" w:hAnsi="Cambria"/>
          <w:sz w:val="20"/>
        </w:rPr>
        <w:t xml:space="preserve">declared </w:t>
      </w:r>
      <w:r>
        <w:rPr>
          <w:rStyle w:val="normaltextrun"/>
          <w:rFonts w:ascii="Cambria" w:hAnsi="Cambria"/>
          <w:sz w:val="20"/>
        </w:rPr>
        <w:t xml:space="preserve">its competence to hear the claim presented by the petitioning party </w:t>
      </w:r>
      <w:r w:rsidR="00E50E5F">
        <w:rPr>
          <w:rStyle w:val="normaltextrun"/>
          <w:rFonts w:ascii="Cambria" w:hAnsi="Cambria"/>
          <w:sz w:val="20"/>
        </w:rPr>
        <w:t xml:space="preserve">with respect to </w:t>
      </w:r>
      <w:r>
        <w:rPr>
          <w:rStyle w:val="normaltextrun"/>
          <w:rFonts w:ascii="Cambria" w:hAnsi="Cambria"/>
          <w:sz w:val="20"/>
        </w:rPr>
        <w:t xml:space="preserve">the alleged violation of the rights enshrined in Articles </w:t>
      </w:r>
      <w:r>
        <w:rPr>
          <w:rFonts w:ascii="Cambria" w:hAnsi="Cambria"/>
          <w:sz w:val="20"/>
        </w:rPr>
        <w:t>4 (life), 5 (</w:t>
      </w:r>
      <w:r w:rsidR="001D06A4">
        <w:rPr>
          <w:rFonts w:ascii="Cambria" w:hAnsi="Cambria"/>
          <w:sz w:val="20"/>
        </w:rPr>
        <w:t>humane treatment</w:t>
      </w:r>
      <w:r>
        <w:rPr>
          <w:rFonts w:ascii="Cambria" w:hAnsi="Cambria"/>
          <w:sz w:val="20"/>
        </w:rPr>
        <w:t>), 8 (</w:t>
      </w:r>
      <w:r w:rsidR="001D06A4">
        <w:rPr>
          <w:rFonts w:ascii="Cambria" w:hAnsi="Cambria"/>
          <w:sz w:val="20"/>
        </w:rPr>
        <w:t>fair trial</w:t>
      </w:r>
      <w:r>
        <w:rPr>
          <w:rFonts w:ascii="Cambria" w:hAnsi="Cambria"/>
          <w:sz w:val="20"/>
        </w:rPr>
        <w:t>), 17 (rights of the family), 22 (movement and residence), 25 (judicial protection), and 26 (economic, social, and cultural rights) of the American Convention in conjunction with the obligation established in Article 1.1 (obligation to respect rights) and Article 2 (domestic legal effects).</w:t>
      </w:r>
    </w:p>
    <w:p w14:paraId="0286D14C" w14:textId="77777777" w:rsidR="00320443" w:rsidRPr="000A2C03" w:rsidRDefault="00320443" w:rsidP="00320443">
      <w:pPr>
        <w:pStyle w:val="paragraph"/>
        <w:spacing w:before="0" w:beforeAutospacing="0" w:after="0" w:afterAutospacing="0"/>
        <w:jc w:val="both"/>
        <w:textAlignment w:val="baseline"/>
        <w:rPr>
          <w:rStyle w:val="normaltextrun"/>
          <w:rFonts w:ascii="Cambria" w:hAnsi="Cambria" w:cs="Segoe UI"/>
          <w:sz w:val="20"/>
          <w:szCs w:val="20"/>
          <w:highlight w:val="yellow"/>
        </w:rPr>
      </w:pPr>
    </w:p>
    <w:p w14:paraId="09180404" w14:textId="60D2A12E" w:rsidR="00320443" w:rsidRPr="005913D6" w:rsidRDefault="00320443" w:rsidP="00320443">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Pr>
          <w:rStyle w:val="normaltextrun"/>
          <w:rFonts w:ascii="Cambria" w:hAnsi="Cambria"/>
          <w:sz w:val="20"/>
        </w:rPr>
        <w:t xml:space="preserve">On May 9, 2022, the parties </w:t>
      </w:r>
      <w:r w:rsidR="00A32691">
        <w:rPr>
          <w:rStyle w:val="normaltextrun"/>
          <w:rFonts w:ascii="Cambria" w:hAnsi="Cambria"/>
          <w:sz w:val="20"/>
        </w:rPr>
        <w:t>signed</w:t>
      </w:r>
      <w:r>
        <w:rPr>
          <w:rStyle w:val="normaltextrun"/>
          <w:rFonts w:ascii="Cambria" w:hAnsi="Cambria"/>
          <w:sz w:val="20"/>
        </w:rPr>
        <w:t xml:space="preserve"> a memorandum of understanding </w:t>
      </w:r>
      <w:r w:rsidR="00FC5D07">
        <w:rPr>
          <w:rStyle w:val="normaltextrun"/>
          <w:rFonts w:ascii="Cambria" w:hAnsi="Cambria"/>
          <w:sz w:val="20"/>
        </w:rPr>
        <w:t xml:space="preserve">to seek </w:t>
      </w:r>
      <w:r>
        <w:rPr>
          <w:rStyle w:val="normaltextrun"/>
          <w:rFonts w:ascii="Cambria" w:hAnsi="Cambria"/>
          <w:sz w:val="20"/>
        </w:rPr>
        <w:t xml:space="preserve">a friendly settlement in the instant case, together with a work schedule to </w:t>
      </w:r>
      <w:r w:rsidR="00A9656F">
        <w:rPr>
          <w:rStyle w:val="normaltextrun"/>
          <w:rFonts w:ascii="Cambria" w:hAnsi="Cambria"/>
          <w:sz w:val="20"/>
        </w:rPr>
        <w:t xml:space="preserve">move forward with </w:t>
      </w:r>
      <w:r>
        <w:rPr>
          <w:rStyle w:val="normaltextrun"/>
          <w:rFonts w:ascii="Cambria" w:hAnsi="Cambria"/>
          <w:sz w:val="20"/>
        </w:rPr>
        <w:t xml:space="preserve">the negotiations. In the following months, the parties held bilateral meetings in order to analyze the reparation measures to be included in the friendly settlement agreement (hereinafter “FSA”), which resulted in the signing of said instrument on September 26, 2023, in the city of Bogotá. On December 6, 2023, the parties </w:t>
      </w:r>
      <w:r w:rsidR="001C7FB2">
        <w:rPr>
          <w:rStyle w:val="normaltextrun"/>
          <w:rFonts w:ascii="Cambria" w:hAnsi="Cambria"/>
          <w:sz w:val="20"/>
        </w:rPr>
        <w:t xml:space="preserve">submitted </w:t>
      </w:r>
      <w:r>
        <w:rPr>
          <w:rStyle w:val="normaltextrun"/>
          <w:rFonts w:ascii="Cambria" w:hAnsi="Cambria"/>
          <w:sz w:val="20"/>
        </w:rPr>
        <w:t xml:space="preserve">a joint report on the progress made in the implementation of the FSA and requested the IACHR to approve it. </w:t>
      </w:r>
    </w:p>
    <w:p w14:paraId="795EB1CB" w14:textId="77777777" w:rsidR="00320443" w:rsidRPr="000A2C03" w:rsidRDefault="00320443" w:rsidP="00320443">
      <w:pPr>
        <w:pStyle w:val="paragraph"/>
        <w:spacing w:before="0" w:beforeAutospacing="0" w:after="0" w:afterAutospacing="0"/>
        <w:jc w:val="both"/>
        <w:textAlignment w:val="baseline"/>
        <w:rPr>
          <w:rStyle w:val="normaltextrun"/>
          <w:rFonts w:ascii="Cambria" w:hAnsi="Cambria" w:cs="Segoe UI"/>
          <w:sz w:val="20"/>
          <w:szCs w:val="20"/>
          <w:highlight w:val="yellow"/>
        </w:rPr>
      </w:pPr>
    </w:p>
    <w:p w14:paraId="40D7AD40" w14:textId="38402CB7" w:rsidR="00320443" w:rsidRPr="005913D6" w:rsidRDefault="00320443" w:rsidP="00320443">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Pr>
          <w:rStyle w:val="normaltextrun"/>
          <w:rFonts w:ascii="Cambria" w:hAnsi="Cambria"/>
          <w:sz w:val="20"/>
        </w:rPr>
        <w:t>Pursuant to Articles 49 of the American Convention and 40(5) of the Rules of Procedure</w:t>
      </w:r>
      <w:r w:rsidR="003503B9">
        <w:rPr>
          <w:rStyle w:val="normaltextrun"/>
          <w:rFonts w:ascii="Cambria" w:hAnsi="Cambria"/>
          <w:sz w:val="20"/>
        </w:rPr>
        <w:t xml:space="preserve"> of the Commission</w:t>
      </w:r>
      <w:r>
        <w:rPr>
          <w:rStyle w:val="normaltextrun"/>
          <w:rFonts w:ascii="Cambria" w:hAnsi="Cambria"/>
          <w:sz w:val="20"/>
        </w:rPr>
        <w:t xml:space="preserve">, this friendly settlement report </w:t>
      </w:r>
      <w:r w:rsidR="003E4FB8">
        <w:rPr>
          <w:rStyle w:val="normaltextrun"/>
          <w:rFonts w:ascii="Cambria" w:hAnsi="Cambria"/>
          <w:sz w:val="20"/>
        </w:rPr>
        <w:t xml:space="preserve">contains a summary of </w:t>
      </w:r>
      <w:r w:rsidR="003D4816">
        <w:rPr>
          <w:rStyle w:val="normaltextrun"/>
          <w:rFonts w:ascii="Cambria" w:hAnsi="Cambria"/>
          <w:sz w:val="20"/>
        </w:rPr>
        <w:t>the facts alle</w:t>
      </w:r>
      <w:r w:rsidR="001F2C46">
        <w:rPr>
          <w:rStyle w:val="normaltextrun"/>
          <w:rFonts w:ascii="Cambria" w:hAnsi="Cambria"/>
          <w:sz w:val="20"/>
        </w:rPr>
        <w:t xml:space="preserve">ged by </w:t>
      </w:r>
      <w:r>
        <w:rPr>
          <w:rStyle w:val="normaltextrun"/>
          <w:rFonts w:ascii="Cambria" w:hAnsi="Cambria"/>
          <w:sz w:val="20"/>
        </w:rPr>
        <w:t>the petitioning party</w:t>
      </w:r>
      <w:r w:rsidR="001F2C46">
        <w:rPr>
          <w:rStyle w:val="normaltextrun"/>
          <w:rFonts w:ascii="Cambria" w:hAnsi="Cambria"/>
          <w:sz w:val="20"/>
        </w:rPr>
        <w:t xml:space="preserve"> </w:t>
      </w:r>
      <w:r>
        <w:rPr>
          <w:rStyle w:val="normaltextrun"/>
          <w:rFonts w:ascii="Cambria" w:hAnsi="Cambria"/>
          <w:sz w:val="20"/>
        </w:rPr>
        <w:t xml:space="preserve"> and </w:t>
      </w:r>
      <w:r w:rsidR="003E4FB8">
        <w:rPr>
          <w:rStyle w:val="normaltextrun"/>
          <w:rFonts w:ascii="Cambria" w:hAnsi="Cambria"/>
          <w:sz w:val="20"/>
        </w:rPr>
        <w:t xml:space="preserve">a transcription of the </w:t>
      </w:r>
      <w:r>
        <w:rPr>
          <w:rStyle w:val="normaltextrun"/>
          <w:rFonts w:ascii="Cambria" w:hAnsi="Cambria"/>
          <w:sz w:val="20"/>
        </w:rPr>
        <w:t>friendly settlement agreement signed on September 26, 2023 by the petitioning party and representatives of the Colombian State. Likewise, the agreement signed between the parties is approved and it is agreed that this report will be published in the Annual Report to the General Assembly of the Organization of American States</w:t>
      </w:r>
      <w:r>
        <w:rPr>
          <w:rStyle w:val="normaltextrun"/>
          <w:rFonts w:ascii="Cambria" w:hAnsi="Cambria"/>
          <w:color w:val="000000"/>
          <w:sz w:val="20"/>
        </w:rPr>
        <w:t>.</w:t>
      </w:r>
    </w:p>
    <w:p w14:paraId="0CDF31C9" w14:textId="77777777" w:rsidR="00DA37B6" w:rsidRPr="00320443" w:rsidRDefault="00DA37B6" w:rsidP="00C57C8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6985AA48" w14:textId="77777777" w:rsidR="00FA675D" w:rsidRPr="004B5146" w:rsidRDefault="00FA675D" w:rsidP="007E04A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4B5146">
        <w:rPr>
          <w:rFonts w:eastAsia="Times New Roman"/>
          <w:b/>
          <w:bCs/>
          <w:kern w:val="36"/>
          <w:sz w:val="20"/>
          <w:szCs w:val="20"/>
          <w:lang w:eastAsia="es-BO"/>
        </w:rPr>
        <w:t>THE FACTS ALLEGED</w:t>
      </w:r>
      <w:r w:rsidRPr="004B5146">
        <w:rPr>
          <w:rFonts w:eastAsia="MS Mincho" w:cstheme="minorHAnsi"/>
          <w:b/>
          <w:color w:val="000000" w:themeColor="text1"/>
          <w:sz w:val="20"/>
          <w:szCs w:val="20"/>
        </w:rPr>
        <w:t xml:space="preserve"> </w:t>
      </w:r>
    </w:p>
    <w:p w14:paraId="07BCA7EB" w14:textId="77777777" w:rsidR="00C57C8E" w:rsidRPr="004B5146" w:rsidRDefault="00C57C8E" w:rsidP="00C57C8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MS Mincho" w:hAnsi="Cambria" w:cstheme="minorHAnsi"/>
          <w:color w:val="000000" w:themeColor="text1"/>
          <w:sz w:val="20"/>
          <w:szCs w:val="20"/>
        </w:rPr>
      </w:pPr>
    </w:p>
    <w:p w14:paraId="55FCBB02" w14:textId="5E7C339A" w:rsidR="00C57C8E" w:rsidRPr="00E920E3" w:rsidRDefault="00C57C8E" w:rsidP="007E04A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ind w:left="0" w:firstLine="720"/>
        <w:jc w:val="both"/>
        <w:rPr>
          <w:color w:val="auto"/>
          <w:sz w:val="20"/>
          <w:szCs w:val="20"/>
        </w:rPr>
      </w:pPr>
      <w:r w:rsidRPr="00E920E3">
        <w:rPr>
          <w:color w:val="auto"/>
          <w:sz w:val="20"/>
          <w:szCs w:val="20"/>
          <w:lang w:val="en"/>
        </w:rPr>
        <w:t xml:space="preserve">The petitioner claimed that in 1996, paramilitary groups of the United Self-defense Forces of Colombia (hereinafter “AUC”) took over several parts of the town of Ovejas, department of Sucre. According to him, these groups often entered towns of the region searching for members or possible collaborators of the Revolutionary Armed Forces of Colombia (“FARC”). </w:t>
      </w:r>
    </w:p>
    <w:p w14:paraId="648610E2" w14:textId="77777777" w:rsidR="00C57C8E" w:rsidRPr="00E920E3" w:rsidRDefault="00C57C8E" w:rsidP="00C57C8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p>
    <w:p w14:paraId="5B9F2500" w14:textId="77777777" w:rsidR="00C57C8E" w:rsidRPr="00E920E3" w:rsidRDefault="00C57C8E" w:rsidP="007E04A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sidRPr="00E920E3">
        <w:rPr>
          <w:rFonts w:ascii="Cambria" w:hAnsi="Cambria"/>
          <w:sz w:val="20"/>
          <w:szCs w:val="20"/>
          <w:lang w:val="en"/>
        </w:rPr>
        <w:t xml:space="preserve">By way of context, he indicated that from 1996 to 2008 more than 276 violent murders were committed in the same region and neighboring towns. He asserted that these deaths were due to the lack of </w:t>
      </w:r>
      <w:r w:rsidRPr="00E920E3">
        <w:rPr>
          <w:rFonts w:ascii="Cambria" w:hAnsi="Cambria"/>
          <w:sz w:val="20"/>
          <w:szCs w:val="20"/>
          <w:lang w:val="en"/>
        </w:rPr>
        <w:lastRenderedPageBreak/>
        <w:t xml:space="preserve">police and military officers in the region since 1996, meaning that the State failed to fulfill its duty to protect the lives of people in that region. He affirms that locals specifically requested the Police and the Army to adopt preventive measures regarding the takeover by armed groups but were unsuccessful. </w:t>
      </w:r>
    </w:p>
    <w:p w14:paraId="430F6715" w14:textId="77777777" w:rsidR="00C57C8E" w:rsidRPr="00E920E3" w:rsidRDefault="00C57C8E" w:rsidP="00C57C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035B52B6" w14:textId="77777777" w:rsidR="00C57C8E" w:rsidRPr="00E920E3" w:rsidRDefault="00C57C8E" w:rsidP="007E04A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sidRPr="00E920E3">
        <w:rPr>
          <w:rFonts w:ascii="Cambria" w:hAnsi="Cambria"/>
          <w:sz w:val="20"/>
          <w:szCs w:val="20"/>
          <w:lang w:val="en"/>
        </w:rPr>
        <w:t xml:space="preserve">He claimed that on November 2, 1998, in the rural area called La Recta, Denys del Carmen Olivera and Juan José Montes Balsanoa, a married couple, and their daughter Piedad Montes Olivera, aged 23, (hereinafter “the alleged victims”) were made to stop and get off their private vehicle, and shot dead. </w:t>
      </w:r>
    </w:p>
    <w:p w14:paraId="64F3C410" w14:textId="77777777" w:rsidR="00C57C8E" w:rsidRPr="00E920E3" w:rsidRDefault="00C57C8E" w:rsidP="00C57C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6180BE32" w14:textId="77777777" w:rsidR="00C57C8E" w:rsidRPr="00E920E3" w:rsidRDefault="00C57C8E" w:rsidP="007E04A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sidRPr="00E920E3">
        <w:rPr>
          <w:rFonts w:ascii="Cambria" w:hAnsi="Cambria"/>
          <w:sz w:val="20"/>
          <w:szCs w:val="20"/>
          <w:lang w:val="en"/>
        </w:rPr>
        <w:t xml:space="preserve">The petitioner argued that the actions of the AUC and the lack of state protection in that place compelled the alleged victims’ relatives to leave their homes and personal effects and to forcedly move to different places in the cities of Ovejas and Sincelejos. He indicated that these paramilitary groups claimed that as the relatives aided the FARC, they would suffer the same fate of the alleged victims. </w:t>
      </w:r>
    </w:p>
    <w:p w14:paraId="5BE8ABDE" w14:textId="77777777" w:rsidR="00C57C8E" w:rsidRPr="00E920E3" w:rsidRDefault="00C57C8E" w:rsidP="00C57C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30D7934" w14:textId="77777777" w:rsidR="00C57C8E" w:rsidRPr="00E920E3" w:rsidRDefault="00C57C8E" w:rsidP="007E04A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sidRPr="00E920E3">
        <w:rPr>
          <w:rFonts w:ascii="Cambria" w:hAnsi="Cambria"/>
          <w:sz w:val="20"/>
          <w:szCs w:val="20"/>
          <w:lang w:val="en"/>
        </w:rPr>
        <w:t xml:space="preserve">He affirmed that on the same date of the facts, the relatives filed a complaint with the National Police in Ovejas and Public Prosecutor’s Office No. 9 in Corozal. However, he asserted that the officials at these bodies refrained from cooperating in the removal of the bodies claiming fear of reprisal from illegal groups. He alleged that the relatives, having found the alleged victims’ bodies on the road, they themselves—without legal support—proceeded to remove the bodies and take them to the morgue in the town of Ovejas. </w:t>
      </w:r>
    </w:p>
    <w:p w14:paraId="400A94CC" w14:textId="77777777" w:rsidR="00C57C8E" w:rsidRPr="00E920E3" w:rsidRDefault="00C57C8E" w:rsidP="00C57C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6EF8F17" w14:textId="77777777" w:rsidR="00C57C8E" w:rsidRPr="00E920E3" w:rsidRDefault="00C57C8E" w:rsidP="007E04A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sidRPr="00E920E3">
        <w:rPr>
          <w:rFonts w:ascii="Cambria" w:hAnsi="Cambria"/>
          <w:sz w:val="20"/>
          <w:szCs w:val="20"/>
          <w:lang w:val="en"/>
        </w:rPr>
        <w:t xml:space="preserve">The petitioner further claimed that Ovejas Ombudsman’s Office certified the alleged victims’ death but did not undertake an investigation. He claimed that the relatives filed a request for information with the Attorney General’s Office. According to him, on December 14, 1999, the said body replied that it would initiate proceedings; yet no proceedings have been held so far. He added that on December 24, 2008, he lodged a request for information with the Police in Ovejas to access a copy of the complaint filed on November 2, 1998. He alleged that on December 25, 2008, Police informed him that there was no record of the case. </w:t>
      </w:r>
    </w:p>
    <w:p w14:paraId="3C187B72" w14:textId="77777777" w:rsidR="00C57C8E" w:rsidRPr="00E920E3" w:rsidRDefault="00C57C8E" w:rsidP="00C57C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F513EF8" w14:textId="77777777" w:rsidR="00C57C8E" w:rsidRPr="00E920E3" w:rsidRDefault="00C57C8E" w:rsidP="007E04A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rPr>
      </w:pPr>
      <w:r w:rsidRPr="00E920E3">
        <w:rPr>
          <w:color w:val="auto"/>
          <w:sz w:val="20"/>
          <w:szCs w:val="20"/>
          <w:lang w:val="en"/>
        </w:rPr>
        <w:t xml:space="preserve">The petitioner submitted that on May 24, 1999, Public Prosecutor’s Office No. 9 in Corozal suspended the investigation as the deadline for the preliminary investigation was due without anyone having been found guilty of the facts; that it decided to close the criminal investigation accordingly.  Allegedly, in 1999 and 2006, he repeatedly asked the Prosecutor’s Office for information on the case. He claimed that on December 29, 2009, he lodged a request for information with the Prosecutor’s Office for Human Rights in Cartagena to obtain a copy of all the documents concerning the investigations undertaken and information on the judicial inquiries and their results. However, on April 28, 2010, the said body notified him that in </w:t>
      </w:r>
      <w:r w:rsidRPr="00E920E3">
        <w:rPr>
          <w:color w:val="auto"/>
          <w:sz w:val="20"/>
          <w:szCs w:val="20"/>
          <w:shd w:val="clear" w:color="auto" w:fill="FFFFFF"/>
          <w:lang w:val="en"/>
        </w:rPr>
        <w:t xml:space="preserve">the database of </w:t>
      </w:r>
      <w:r w:rsidRPr="00E920E3">
        <w:rPr>
          <w:color w:val="auto"/>
          <w:sz w:val="20"/>
          <w:szCs w:val="20"/>
          <w:lang w:val="en"/>
        </w:rPr>
        <w:t xml:space="preserve">the Prosecutor’s Office Legal Information System, there was no record of any investigation into the facts. </w:t>
      </w:r>
    </w:p>
    <w:p w14:paraId="033948A7" w14:textId="77777777" w:rsidR="00C57C8E" w:rsidRPr="00E920E3" w:rsidRDefault="00C57C8E" w:rsidP="00C57C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AE9933A" w14:textId="77777777" w:rsidR="00C57C8E" w:rsidRPr="00E920E3" w:rsidRDefault="00C57C8E" w:rsidP="007E04A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rPr>
      </w:pPr>
      <w:r w:rsidRPr="00E920E3">
        <w:rPr>
          <w:color w:val="auto"/>
          <w:sz w:val="20"/>
          <w:szCs w:val="20"/>
          <w:lang w:val="en"/>
        </w:rPr>
        <w:t xml:space="preserve">He also stated that on November 2, 2000, he filed a direct claim for damages in the contentious administrative jurisdiction, which Sucre Administrative Court rejected on February 21, 2008. The court argued that the State could not be held responsible for damage because while the unlawful damage allegedly entailing responsibility was proven, the said failure to fulfill an obligation was unproven. The court added that given the evident state of war in the country since then, Police was not obliged to be present everywhere. He submitted that he filed an appeal before the same court. On April 17, 2008, the court ruled to dismiss the appeal because of its low amount of damages. He indicated that, therefore, he lodged an appeal, which the Administrative Court in Sucre dismissed on May 29, 2008. The decision was notified on June 4, 2008. He asserted that he requested copies of the proceedings in order to file a complaint before the State Council. </w:t>
      </w:r>
    </w:p>
    <w:p w14:paraId="1BC865BB" w14:textId="77777777" w:rsidR="00C57C8E" w:rsidRPr="00E920E3" w:rsidRDefault="00C57C8E" w:rsidP="00C57C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DC1D775" w14:textId="77777777" w:rsidR="00C57C8E" w:rsidRPr="00E920E3" w:rsidRDefault="00C57C8E" w:rsidP="007E04A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rPr>
      </w:pPr>
      <w:r w:rsidRPr="00E920E3">
        <w:rPr>
          <w:color w:val="auto"/>
          <w:sz w:val="20"/>
          <w:szCs w:val="20"/>
          <w:lang w:val="en"/>
        </w:rPr>
        <w:t xml:space="preserve">The petitioner alleged while decades have passed, none of the persons responsible for the facts have been identified, investigated, or punished, which reveals judicial inaction and authorities’ delay. </w:t>
      </w:r>
    </w:p>
    <w:p w14:paraId="0EFEAE48" w14:textId="77777777" w:rsidR="00DA37B6" w:rsidRPr="00C57C8E" w:rsidRDefault="00DA37B6" w:rsidP="00C57C8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cstheme="minorHAnsi"/>
          <w:b/>
          <w:color w:val="000000" w:themeColor="text1"/>
          <w:sz w:val="20"/>
          <w:szCs w:val="20"/>
        </w:rPr>
      </w:pPr>
    </w:p>
    <w:p w14:paraId="5B70C384" w14:textId="77777777" w:rsidR="00FA675D" w:rsidRPr="00C57C8E" w:rsidRDefault="00FA675D" w:rsidP="007E04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C57C8E">
        <w:rPr>
          <w:rFonts w:ascii="Cambria" w:eastAsia="MS Mincho" w:hAnsi="Cambria" w:cstheme="minorHAnsi"/>
          <w:b/>
          <w:color w:val="000000" w:themeColor="text1"/>
          <w:sz w:val="20"/>
          <w:szCs w:val="20"/>
          <w:lang w:val="es-CO"/>
        </w:rPr>
        <w:t>FRIENDLY SETTLEMENT</w:t>
      </w:r>
    </w:p>
    <w:p w14:paraId="1009841C" w14:textId="77777777" w:rsidR="00DA37B6" w:rsidRPr="00C57C8E" w:rsidRDefault="00DA37B6" w:rsidP="00C57C8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6498171E" w14:textId="4ACC3B91" w:rsidR="000C047C" w:rsidRPr="007D5EDA" w:rsidRDefault="000C047C" w:rsidP="000C047C">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t xml:space="preserve">On September 26, 2023, the parties signed a friendly settlement agreement, </w:t>
      </w:r>
      <w:r w:rsidR="00F976A7">
        <w:rPr>
          <w:rFonts w:ascii="Cambria" w:hAnsi="Cambria"/>
          <w:sz w:val="20"/>
        </w:rPr>
        <w:t>the text of which provides as follows</w:t>
      </w:r>
      <w:r>
        <w:rPr>
          <w:rFonts w:ascii="Cambria" w:hAnsi="Cambria"/>
          <w:sz w:val="20"/>
        </w:rPr>
        <w:t xml:space="preserve">: </w:t>
      </w:r>
    </w:p>
    <w:p w14:paraId="6FEB7A36" w14:textId="77777777" w:rsidR="007D5EDA" w:rsidRDefault="007D5EDA" w:rsidP="007D5EDA">
      <w:pPr>
        <w:pStyle w:val="paragraph"/>
        <w:spacing w:before="0" w:beforeAutospacing="0" w:after="0" w:afterAutospacing="0"/>
        <w:jc w:val="both"/>
        <w:textAlignment w:val="baseline"/>
        <w:rPr>
          <w:rFonts w:ascii="Cambria" w:hAnsi="Cambria"/>
          <w:sz w:val="20"/>
        </w:rPr>
      </w:pPr>
    </w:p>
    <w:p w14:paraId="517C7750" w14:textId="77777777" w:rsidR="007D5EDA" w:rsidRDefault="007D5EDA" w:rsidP="007D5EDA">
      <w:pPr>
        <w:pStyle w:val="paragraph"/>
        <w:spacing w:before="0" w:beforeAutospacing="0" w:after="0" w:afterAutospacing="0"/>
        <w:jc w:val="both"/>
        <w:textAlignment w:val="baseline"/>
        <w:rPr>
          <w:rFonts w:ascii="Cambria" w:hAnsi="Cambria"/>
          <w:sz w:val="20"/>
        </w:rPr>
      </w:pPr>
    </w:p>
    <w:p w14:paraId="4ACFB99D" w14:textId="77777777" w:rsidR="007D5EDA" w:rsidRPr="005913D6" w:rsidRDefault="007D5EDA" w:rsidP="007D5EDA">
      <w:pPr>
        <w:pStyle w:val="paragraph"/>
        <w:spacing w:before="0" w:beforeAutospacing="0" w:after="0" w:afterAutospacing="0"/>
        <w:jc w:val="both"/>
        <w:textAlignment w:val="baseline"/>
        <w:rPr>
          <w:rFonts w:ascii="Cambria" w:hAnsi="Cambria" w:cs="Segoe UI"/>
          <w:sz w:val="20"/>
          <w:szCs w:val="20"/>
        </w:rPr>
      </w:pPr>
    </w:p>
    <w:p w14:paraId="39BBC4E6" w14:textId="77777777" w:rsidR="000C047C" w:rsidRPr="000A2C03" w:rsidRDefault="000C047C" w:rsidP="000C047C">
      <w:pPr>
        <w:pStyle w:val="paragraph"/>
        <w:spacing w:before="0" w:beforeAutospacing="0" w:after="0" w:afterAutospacing="0"/>
        <w:jc w:val="both"/>
        <w:textAlignment w:val="baseline"/>
        <w:rPr>
          <w:rFonts w:ascii="Cambria" w:hAnsi="Cambria" w:cs="Segoe UI"/>
          <w:sz w:val="20"/>
          <w:szCs w:val="20"/>
        </w:rPr>
      </w:pPr>
    </w:p>
    <w:p w14:paraId="737D6DB7" w14:textId="77777777" w:rsidR="000C047C" w:rsidRPr="005913D6" w:rsidRDefault="000C047C" w:rsidP="000C047C">
      <w:pPr>
        <w:ind w:left="720" w:right="620"/>
        <w:jc w:val="center"/>
        <w:textAlignment w:val="baseline"/>
        <w:rPr>
          <w:rFonts w:ascii="Cambria" w:eastAsia="Times New Roman" w:hAnsi="Cambria" w:cs="Segoe UI"/>
          <w:b/>
          <w:bCs/>
          <w:color w:val="000000"/>
          <w:sz w:val="20"/>
          <w:szCs w:val="20"/>
        </w:rPr>
      </w:pPr>
      <w:r>
        <w:rPr>
          <w:rFonts w:ascii="Cambria" w:hAnsi="Cambria"/>
          <w:b/>
          <w:color w:val="000000"/>
          <w:sz w:val="20"/>
        </w:rPr>
        <w:t>FRIENDLY SETTLEMENT AGREEMENT</w:t>
      </w:r>
    </w:p>
    <w:p w14:paraId="2DE6EE3B" w14:textId="1F527379" w:rsidR="000C047C" w:rsidRPr="005913D6" w:rsidRDefault="000C047C" w:rsidP="000C047C">
      <w:pPr>
        <w:jc w:val="center"/>
        <w:rPr>
          <w:rFonts w:ascii="Cambria" w:hAnsi="Cambria"/>
          <w:b/>
          <w:sz w:val="20"/>
          <w:szCs w:val="20"/>
        </w:rPr>
      </w:pPr>
      <w:r>
        <w:rPr>
          <w:rFonts w:ascii="Cambria" w:hAnsi="Cambria"/>
          <w:b/>
          <w:sz w:val="20"/>
        </w:rPr>
        <w:t>CASE No. 13</w:t>
      </w:r>
      <w:r w:rsidR="00062C04">
        <w:rPr>
          <w:rFonts w:ascii="Cambria" w:hAnsi="Cambria"/>
          <w:b/>
          <w:sz w:val="20"/>
        </w:rPr>
        <w:t>,</w:t>
      </w:r>
      <w:r>
        <w:rPr>
          <w:rFonts w:ascii="Cambria" w:hAnsi="Cambria"/>
          <w:b/>
          <w:sz w:val="20"/>
        </w:rPr>
        <w:t xml:space="preserve">892 DENYS DEL CARMEN OLIVERA DE MONTES AND </w:t>
      </w:r>
      <w:r w:rsidR="00062C04">
        <w:rPr>
          <w:rFonts w:ascii="Cambria" w:hAnsi="Cambria"/>
          <w:b/>
          <w:sz w:val="20"/>
        </w:rPr>
        <w:t>FAMILY</w:t>
      </w:r>
      <w:r>
        <w:rPr>
          <w:rStyle w:val="FootnoteReference"/>
          <w:rFonts w:ascii="Cambria" w:hAnsi="Cambria"/>
          <w:sz w:val="20"/>
          <w:szCs w:val="20"/>
          <w:lang w:val="es-MX"/>
        </w:rPr>
        <w:footnoteReference w:id="3"/>
      </w:r>
    </w:p>
    <w:p w14:paraId="0F4E24E1" w14:textId="77777777" w:rsidR="000C047C" w:rsidRPr="000A2C03" w:rsidRDefault="000C047C" w:rsidP="000C047C">
      <w:pPr>
        <w:tabs>
          <w:tab w:val="left" w:pos="8640"/>
        </w:tabs>
        <w:ind w:right="720"/>
        <w:jc w:val="both"/>
        <w:textAlignment w:val="baseline"/>
        <w:rPr>
          <w:rFonts w:ascii="Cambria" w:eastAsia="Times New Roman" w:hAnsi="Cambria" w:cs="Segoe UI"/>
          <w:b/>
          <w:bCs/>
          <w:strike/>
          <w:color w:val="000000"/>
          <w:sz w:val="20"/>
          <w:szCs w:val="20"/>
          <w:highlight w:val="red"/>
        </w:rPr>
      </w:pPr>
    </w:p>
    <w:p w14:paraId="43E97E3D" w14:textId="333593AE" w:rsidR="000C047C" w:rsidRDefault="000C047C" w:rsidP="000C047C">
      <w:pPr>
        <w:ind w:left="709" w:right="713"/>
        <w:jc w:val="both"/>
        <w:rPr>
          <w:rFonts w:ascii="Cambria" w:hAnsi="Cambria"/>
          <w:sz w:val="20"/>
          <w:szCs w:val="20"/>
        </w:rPr>
      </w:pPr>
      <w:r>
        <w:rPr>
          <w:rFonts w:ascii="Cambria" w:hAnsi="Cambria"/>
          <w:sz w:val="20"/>
        </w:rPr>
        <w:t>On September 26, 2023 in the city of Bogotá D.C.,</w:t>
      </w:r>
      <w:r w:rsidR="00062C04">
        <w:rPr>
          <w:rFonts w:ascii="Cambria" w:hAnsi="Cambria"/>
          <w:sz w:val="20"/>
        </w:rPr>
        <w:t xml:space="preserve"> a meeting was held between,</w:t>
      </w:r>
      <w:r>
        <w:rPr>
          <w:rFonts w:ascii="Cambria" w:hAnsi="Cambria"/>
          <w:sz w:val="20"/>
        </w:rPr>
        <w:t xml:space="preserve"> on the one hand, Ana María Ordóñez Puentes, Director of International Legal Defense of the National Agency for the Legal Defense of the State, acting on behalf of the Colombian State, hereinafter "the Colombian State", and on the other hand, Francisco Javier Herrera Sánchez, acting on behalf of the victims, hereinafter "the </w:t>
      </w:r>
      <w:r w:rsidR="004775D8">
        <w:rPr>
          <w:rFonts w:ascii="Cambria" w:hAnsi="Cambria"/>
          <w:sz w:val="20"/>
        </w:rPr>
        <w:t xml:space="preserve">representative of the </w:t>
      </w:r>
      <w:r>
        <w:rPr>
          <w:rFonts w:ascii="Cambria" w:hAnsi="Cambria"/>
          <w:sz w:val="20"/>
        </w:rPr>
        <w:t>victim</w:t>
      </w:r>
      <w:r w:rsidR="004775D8">
        <w:rPr>
          <w:rFonts w:ascii="Cambria" w:hAnsi="Cambria"/>
          <w:sz w:val="20"/>
        </w:rPr>
        <w:t>s</w:t>
      </w:r>
      <w:r>
        <w:rPr>
          <w:rFonts w:ascii="Cambria" w:hAnsi="Cambria"/>
          <w:sz w:val="20"/>
        </w:rPr>
        <w:t xml:space="preserve">", jointly referred to as "the parties", </w:t>
      </w:r>
      <w:r w:rsidR="00212FFA">
        <w:rPr>
          <w:rFonts w:ascii="Cambria" w:hAnsi="Cambria"/>
          <w:sz w:val="20"/>
        </w:rPr>
        <w:t xml:space="preserve">who have </w:t>
      </w:r>
      <w:r>
        <w:rPr>
          <w:rFonts w:ascii="Cambria" w:hAnsi="Cambria"/>
          <w:sz w:val="20"/>
        </w:rPr>
        <w:t xml:space="preserve">decided to enter into this Friendly Settlement Agreement in Case No. </w:t>
      </w:r>
      <w:r w:rsidR="000B7B24">
        <w:rPr>
          <w:rFonts w:ascii="Cambria" w:hAnsi="Cambria"/>
          <w:sz w:val="20"/>
        </w:rPr>
        <w:t>13</w:t>
      </w:r>
      <w:r w:rsidR="0040582A">
        <w:rPr>
          <w:rFonts w:ascii="Cambria" w:hAnsi="Cambria"/>
          <w:sz w:val="20"/>
        </w:rPr>
        <w:t>,</w:t>
      </w:r>
      <w:r>
        <w:rPr>
          <w:rFonts w:ascii="Cambria" w:hAnsi="Cambria"/>
          <w:sz w:val="20"/>
        </w:rPr>
        <w:t xml:space="preserve">892 Denys del Carmen Olivera de Montes and </w:t>
      </w:r>
      <w:r w:rsidR="0040582A">
        <w:rPr>
          <w:rFonts w:ascii="Cambria" w:hAnsi="Cambria"/>
          <w:sz w:val="20"/>
        </w:rPr>
        <w:t>family</w:t>
      </w:r>
      <w:r>
        <w:rPr>
          <w:rFonts w:ascii="Cambria" w:hAnsi="Cambria"/>
          <w:sz w:val="20"/>
        </w:rPr>
        <w:t xml:space="preserve">, </w:t>
      </w:r>
      <w:r w:rsidR="0040582A">
        <w:rPr>
          <w:rFonts w:ascii="Cambria" w:hAnsi="Cambria"/>
          <w:sz w:val="20"/>
        </w:rPr>
        <w:t xml:space="preserve">pending </w:t>
      </w:r>
      <w:r>
        <w:rPr>
          <w:rFonts w:ascii="Cambria" w:hAnsi="Cambria"/>
          <w:sz w:val="20"/>
        </w:rPr>
        <w:t xml:space="preserve">before the Inter-American Commission on Human Rights.  </w:t>
      </w:r>
    </w:p>
    <w:p w14:paraId="6F9CD455"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6E8AA97A" w14:textId="06ADCAC5" w:rsidR="000C047C" w:rsidRDefault="00094632" w:rsidP="000C047C">
      <w:pPr>
        <w:ind w:left="709" w:right="713"/>
        <w:jc w:val="both"/>
        <w:rPr>
          <w:rFonts w:ascii="Cambria" w:hAnsi="Cambria"/>
          <w:b/>
          <w:bCs/>
          <w:sz w:val="20"/>
          <w:szCs w:val="20"/>
        </w:rPr>
      </w:pPr>
      <w:r>
        <w:rPr>
          <w:rFonts w:ascii="Cambria" w:hAnsi="Cambria"/>
          <w:b/>
          <w:sz w:val="20"/>
        </w:rPr>
        <w:t xml:space="preserve">PART </w:t>
      </w:r>
      <w:r w:rsidR="000C047C">
        <w:rPr>
          <w:rFonts w:ascii="Cambria" w:hAnsi="Cambria"/>
          <w:b/>
          <w:sz w:val="20"/>
        </w:rPr>
        <w:t>ONE: CONCEPTS</w:t>
      </w:r>
    </w:p>
    <w:p w14:paraId="58949D0A" w14:textId="77777777" w:rsidR="000C047C" w:rsidRPr="000A2C03" w:rsidRDefault="000C047C" w:rsidP="000C047C">
      <w:pPr>
        <w:pStyle w:val="paragraph"/>
        <w:spacing w:before="0" w:beforeAutospacing="0" w:after="0" w:afterAutospacing="0"/>
        <w:jc w:val="both"/>
        <w:textAlignment w:val="baseline"/>
        <w:rPr>
          <w:rFonts w:ascii="Cambria" w:hAnsi="Cambria"/>
          <w:b/>
          <w:bCs/>
          <w:sz w:val="20"/>
          <w:szCs w:val="20"/>
        </w:rPr>
      </w:pPr>
    </w:p>
    <w:p w14:paraId="58595BE1" w14:textId="77777777" w:rsidR="000C047C" w:rsidRDefault="000C047C" w:rsidP="000C047C">
      <w:pPr>
        <w:ind w:left="709" w:right="713"/>
        <w:jc w:val="both"/>
        <w:rPr>
          <w:rFonts w:ascii="Cambria" w:hAnsi="Cambria"/>
          <w:sz w:val="20"/>
          <w:szCs w:val="20"/>
        </w:rPr>
      </w:pPr>
      <w:r>
        <w:rPr>
          <w:rFonts w:ascii="Cambria" w:hAnsi="Cambria"/>
          <w:b/>
          <w:sz w:val="20"/>
          <w:u w:val="single"/>
        </w:rPr>
        <w:t>IACHR or Inter-American Commission:</w:t>
      </w:r>
      <w:r>
        <w:rPr>
          <w:rFonts w:ascii="Cambria" w:hAnsi="Cambria"/>
          <w:b/>
          <w:sz w:val="20"/>
        </w:rPr>
        <w:t xml:space="preserve"> </w:t>
      </w:r>
      <w:r>
        <w:rPr>
          <w:rFonts w:ascii="Cambria" w:hAnsi="Cambria"/>
          <w:sz w:val="20"/>
        </w:rPr>
        <w:t>Inter-American Commission on Human Rights.</w:t>
      </w:r>
    </w:p>
    <w:p w14:paraId="77269902"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1EC8CC80" w14:textId="78764F27" w:rsidR="000C047C" w:rsidRDefault="000C047C" w:rsidP="000C047C">
      <w:pPr>
        <w:ind w:left="709" w:right="713"/>
        <w:jc w:val="both"/>
        <w:rPr>
          <w:rFonts w:ascii="Cambria" w:hAnsi="Cambria"/>
          <w:sz w:val="20"/>
          <w:szCs w:val="20"/>
        </w:rPr>
      </w:pPr>
      <w:r>
        <w:rPr>
          <w:rFonts w:ascii="Cambria" w:hAnsi="Cambria"/>
          <w:b/>
          <w:sz w:val="20"/>
          <w:u w:val="single"/>
        </w:rPr>
        <w:t>Moral damages:</w:t>
      </w:r>
      <w:r>
        <w:rPr>
          <w:rFonts w:ascii="Cambria" w:hAnsi="Cambria"/>
          <w:b/>
          <w:sz w:val="20"/>
        </w:rPr>
        <w:t xml:space="preserve"> </w:t>
      </w:r>
      <w:r w:rsidR="00D16FF5">
        <w:rPr>
          <w:rFonts w:ascii="Cambria" w:hAnsi="Cambria"/>
          <w:sz w:val="20"/>
        </w:rPr>
        <w:t>I</w:t>
      </w:r>
      <w:r>
        <w:rPr>
          <w:rFonts w:ascii="Cambria" w:hAnsi="Cambria"/>
          <w:sz w:val="20"/>
        </w:rPr>
        <w:t xml:space="preserve">njurious effects of the facts of the case that </w:t>
      </w:r>
      <w:r w:rsidR="00687B4B">
        <w:rPr>
          <w:rFonts w:ascii="Cambria" w:hAnsi="Cambria"/>
          <w:sz w:val="20"/>
        </w:rPr>
        <w:t xml:space="preserve">are not </w:t>
      </w:r>
      <w:r w:rsidR="00EC140B">
        <w:rPr>
          <w:rFonts w:ascii="Cambria" w:hAnsi="Cambria"/>
          <w:sz w:val="20"/>
        </w:rPr>
        <w:t xml:space="preserve">of </w:t>
      </w:r>
      <w:r w:rsidR="00687B4B">
        <w:rPr>
          <w:rFonts w:ascii="Cambria" w:hAnsi="Cambria"/>
          <w:sz w:val="20"/>
        </w:rPr>
        <w:t>economic or pro</w:t>
      </w:r>
      <w:r w:rsidR="00EC140B">
        <w:rPr>
          <w:rFonts w:ascii="Cambria" w:hAnsi="Cambria"/>
          <w:sz w:val="20"/>
        </w:rPr>
        <w:t xml:space="preserve">prietary natura, </w:t>
      </w:r>
      <w:r w:rsidR="009A46F5">
        <w:rPr>
          <w:rFonts w:ascii="Cambria" w:hAnsi="Cambria"/>
          <w:sz w:val="20"/>
        </w:rPr>
        <w:t xml:space="preserve">which manifest </w:t>
      </w:r>
      <w:r w:rsidR="00C024BA">
        <w:rPr>
          <w:rFonts w:ascii="Cambria" w:hAnsi="Cambria"/>
          <w:sz w:val="20"/>
        </w:rPr>
        <w:t xml:space="preserve">through </w:t>
      </w:r>
      <w:r>
        <w:rPr>
          <w:rFonts w:ascii="Cambria" w:hAnsi="Cambria"/>
          <w:sz w:val="20"/>
        </w:rPr>
        <w:t xml:space="preserve">pain, affliction, sadness, distress, and anxiety </w:t>
      </w:r>
      <w:r w:rsidR="00457D04">
        <w:rPr>
          <w:rFonts w:ascii="Cambria" w:hAnsi="Cambria"/>
          <w:sz w:val="20"/>
        </w:rPr>
        <w:t>for</w:t>
      </w:r>
      <w:r>
        <w:rPr>
          <w:rFonts w:ascii="Cambria" w:hAnsi="Cambria"/>
          <w:sz w:val="20"/>
        </w:rPr>
        <w:t xml:space="preserve"> the victims.</w:t>
      </w:r>
    </w:p>
    <w:p w14:paraId="185A1E33"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544539E2" w14:textId="77777777" w:rsidR="000C047C" w:rsidRDefault="000C047C" w:rsidP="000C047C">
      <w:pPr>
        <w:ind w:left="709" w:right="713"/>
        <w:jc w:val="both"/>
        <w:rPr>
          <w:rFonts w:ascii="Cambria" w:hAnsi="Cambria"/>
          <w:sz w:val="20"/>
          <w:szCs w:val="20"/>
        </w:rPr>
      </w:pPr>
      <w:r>
        <w:rPr>
          <w:rFonts w:ascii="Cambria" w:hAnsi="Cambria"/>
          <w:b/>
          <w:sz w:val="20"/>
          <w:u w:val="single"/>
        </w:rPr>
        <w:t>Non-material damage:</w:t>
      </w:r>
      <w:r>
        <w:rPr>
          <w:rFonts w:ascii="Cambria" w:hAnsi="Cambria"/>
          <w:b/>
          <w:sz w:val="20"/>
        </w:rPr>
        <w:t xml:space="preserve"> </w:t>
      </w:r>
      <w:r>
        <w:rPr>
          <w:rFonts w:ascii="Cambria" w:hAnsi="Cambria"/>
          <w:sz w:val="20"/>
        </w:rPr>
        <w:t>Includes both the suffering and affliction caused to the victims, the impairment of values of great importance to the persons concerned, as well as alterations, of a non-pecuniary nature, in the living conditions of the victim or his family.</w:t>
      </w:r>
      <w:r w:rsidRPr="005913D6">
        <w:rPr>
          <w:rFonts w:ascii="Cambria" w:hAnsi="Cambria"/>
          <w:sz w:val="20"/>
          <w:szCs w:val="20"/>
          <w:vertAlign w:val="superscript"/>
        </w:rPr>
        <w:footnoteReference w:id="4"/>
      </w:r>
    </w:p>
    <w:p w14:paraId="7ECA6525"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359738AC" w14:textId="6DC77198" w:rsidR="000C047C" w:rsidRDefault="000C047C" w:rsidP="000C047C">
      <w:pPr>
        <w:ind w:left="709" w:right="713"/>
        <w:jc w:val="both"/>
        <w:rPr>
          <w:rFonts w:ascii="Cambria" w:hAnsi="Cambria"/>
          <w:sz w:val="20"/>
          <w:szCs w:val="20"/>
        </w:rPr>
      </w:pPr>
      <w:r>
        <w:rPr>
          <w:rFonts w:ascii="Cambria" w:hAnsi="Cambria"/>
          <w:b/>
          <w:sz w:val="20"/>
          <w:u w:val="single"/>
        </w:rPr>
        <w:t>State or Colombian State:</w:t>
      </w:r>
      <w:r>
        <w:rPr>
          <w:rFonts w:ascii="Cambria" w:hAnsi="Cambria"/>
          <w:b/>
          <w:sz w:val="20"/>
        </w:rPr>
        <w:t xml:space="preserve"> </w:t>
      </w:r>
      <w:r>
        <w:rPr>
          <w:rFonts w:ascii="Cambria" w:hAnsi="Cambria"/>
          <w:sz w:val="20"/>
        </w:rPr>
        <w:t xml:space="preserve">In accordance with Public International Law, the State is understood to be the </w:t>
      </w:r>
      <w:r w:rsidR="003F2E86">
        <w:rPr>
          <w:rFonts w:ascii="Cambria" w:hAnsi="Cambria"/>
          <w:sz w:val="20"/>
        </w:rPr>
        <w:t xml:space="preserve">party </w:t>
      </w:r>
      <w:r>
        <w:rPr>
          <w:rFonts w:ascii="Cambria" w:hAnsi="Cambria"/>
          <w:sz w:val="20"/>
        </w:rPr>
        <w:t>that has agreed to abide by the American Convention on Human Rights, hereinafter the “American Convention” or “ACHR”.</w:t>
      </w:r>
    </w:p>
    <w:p w14:paraId="0565FE9F"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34E5CEF6" w14:textId="77777777" w:rsidR="000C047C" w:rsidRDefault="000C047C" w:rsidP="000C047C">
      <w:pPr>
        <w:ind w:left="709" w:right="713"/>
        <w:jc w:val="both"/>
        <w:rPr>
          <w:rFonts w:ascii="Cambria" w:hAnsi="Cambria"/>
          <w:sz w:val="20"/>
          <w:szCs w:val="20"/>
        </w:rPr>
      </w:pPr>
      <w:r>
        <w:rPr>
          <w:rFonts w:ascii="Cambria" w:hAnsi="Cambria"/>
          <w:b/>
          <w:sz w:val="20"/>
          <w:u w:val="single"/>
        </w:rPr>
        <w:t>The Petitioning Party:</w:t>
      </w:r>
      <w:r>
        <w:rPr>
          <w:rFonts w:ascii="Cambria" w:hAnsi="Cambria"/>
          <w:b/>
          <w:sz w:val="20"/>
        </w:rPr>
        <w:t xml:space="preserve"> </w:t>
      </w:r>
      <w:r>
        <w:rPr>
          <w:rFonts w:ascii="Cambria" w:hAnsi="Cambria"/>
          <w:sz w:val="20"/>
        </w:rPr>
        <w:t>Attorney Francisco Javier Herrera Sánchez.</w:t>
      </w:r>
    </w:p>
    <w:p w14:paraId="6F418BDB"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409F3E41" w14:textId="32FFB077" w:rsidR="000C047C" w:rsidRPr="005913D6" w:rsidRDefault="0072107E" w:rsidP="000C047C">
      <w:pPr>
        <w:ind w:left="709" w:right="713"/>
        <w:jc w:val="both"/>
        <w:rPr>
          <w:rFonts w:ascii="Cambria" w:hAnsi="Cambria"/>
          <w:sz w:val="20"/>
          <w:szCs w:val="20"/>
        </w:rPr>
      </w:pPr>
      <w:r>
        <w:rPr>
          <w:rFonts w:ascii="Cambria" w:hAnsi="Cambria"/>
          <w:b/>
          <w:sz w:val="20"/>
          <w:u w:val="single"/>
        </w:rPr>
        <w:t>Measures of s</w:t>
      </w:r>
      <w:r w:rsidR="000C047C">
        <w:rPr>
          <w:rFonts w:ascii="Cambria" w:hAnsi="Cambria"/>
          <w:b/>
          <w:sz w:val="20"/>
          <w:u w:val="single"/>
        </w:rPr>
        <w:t>atisfaction:</w:t>
      </w:r>
      <w:r w:rsidR="000C047C">
        <w:rPr>
          <w:rFonts w:ascii="Cambria" w:hAnsi="Cambria"/>
          <w:b/>
          <w:sz w:val="20"/>
        </w:rPr>
        <w:t xml:space="preserve"> </w:t>
      </w:r>
      <w:r w:rsidR="000C047C">
        <w:rPr>
          <w:rFonts w:ascii="Cambria" w:hAnsi="Cambria"/>
          <w:sz w:val="20"/>
        </w:rPr>
        <w:t>Non-pecuniary measures intended to ensure the recovery of the victims from the harm caused to them.</w:t>
      </w:r>
      <w:r w:rsidR="000C047C" w:rsidRPr="005913D6">
        <w:rPr>
          <w:rStyle w:val="FootnoteReference"/>
          <w:rFonts w:ascii="Cambria" w:hAnsi="Cambria"/>
          <w:sz w:val="20"/>
          <w:szCs w:val="20"/>
        </w:rPr>
        <w:footnoteReference w:id="5"/>
      </w:r>
      <w:r w:rsidR="000C047C">
        <w:rPr>
          <w:rFonts w:ascii="Cambria" w:hAnsi="Cambria"/>
          <w:sz w:val="20"/>
        </w:rPr>
        <w:t xml:space="preserve"> </w:t>
      </w:r>
    </w:p>
    <w:p w14:paraId="38241A75" w14:textId="77777777" w:rsidR="000C047C" w:rsidRPr="000A2C03" w:rsidRDefault="000C047C" w:rsidP="000C047C">
      <w:pPr>
        <w:pStyle w:val="paragraph"/>
        <w:spacing w:before="0" w:beforeAutospacing="0" w:after="0" w:afterAutospacing="0"/>
        <w:jc w:val="both"/>
        <w:textAlignment w:val="baseline"/>
        <w:rPr>
          <w:rFonts w:ascii="Cambria" w:hAnsi="Cambria"/>
          <w:b/>
          <w:bCs/>
          <w:sz w:val="20"/>
          <w:szCs w:val="20"/>
          <w:u w:val="single"/>
        </w:rPr>
      </w:pPr>
    </w:p>
    <w:p w14:paraId="5C17C1FC" w14:textId="77777777" w:rsidR="000C047C" w:rsidRDefault="000C047C" w:rsidP="000C047C">
      <w:pPr>
        <w:ind w:left="709" w:right="713"/>
        <w:jc w:val="both"/>
        <w:rPr>
          <w:rFonts w:ascii="Cambria" w:hAnsi="Cambria"/>
          <w:sz w:val="20"/>
          <w:szCs w:val="20"/>
        </w:rPr>
      </w:pPr>
      <w:r>
        <w:rPr>
          <w:rFonts w:ascii="Cambria" w:hAnsi="Cambria"/>
          <w:b/>
          <w:sz w:val="20"/>
          <w:u w:val="single"/>
        </w:rPr>
        <w:t>Parties:</w:t>
      </w:r>
      <w:r>
        <w:rPr>
          <w:rFonts w:ascii="Cambria" w:hAnsi="Cambria"/>
          <w:b/>
          <w:sz w:val="20"/>
        </w:rPr>
        <w:t xml:space="preserve"> </w:t>
      </w:r>
      <w:r>
        <w:rPr>
          <w:rFonts w:ascii="Cambria" w:hAnsi="Cambria"/>
          <w:sz w:val="20"/>
        </w:rPr>
        <w:t>State of Colombia, family members of Denys del Carmen Olivera, Juan José Montes Balasnoa, and Piedad Montes Olivera and the representative of the victims.</w:t>
      </w:r>
    </w:p>
    <w:p w14:paraId="1679C554"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5893E6C1" w14:textId="1621A36C" w:rsidR="000C047C" w:rsidRDefault="000C047C" w:rsidP="000C047C">
      <w:pPr>
        <w:ind w:left="709" w:right="713"/>
        <w:jc w:val="both"/>
        <w:rPr>
          <w:rFonts w:ascii="Cambria" w:hAnsi="Cambria"/>
          <w:sz w:val="20"/>
          <w:szCs w:val="20"/>
        </w:rPr>
      </w:pPr>
      <w:r>
        <w:rPr>
          <w:rFonts w:ascii="Cambria" w:hAnsi="Cambria"/>
          <w:b/>
          <w:sz w:val="20"/>
          <w:u w:val="single"/>
        </w:rPr>
        <w:t>Acknowledgement of responsibility:</w:t>
      </w:r>
      <w:r>
        <w:rPr>
          <w:rFonts w:ascii="Cambria" w:hAnsi="Cambria"/>
          <w:b/>
          <w:sz w:val="20"/>
        </w:rPr>
        <w:t xml:space="preserve"> </w:t>
      </w:r>
      <w:r>
        <w:rPr>
          <w:rFonts w:ascii="Cambria" w:hAnsi="Cambria"/>
          <w:sz w:val="20"/>
        </w:rPr>
        <w:t>A</w:t>
      </w:r>
      <w:r w:rsidR="00662295">
        <w:rPr>
          <w:rFonts w:ascii="Cambria" w:hAnsi="Cambria"/>
          <w:sz w:val="20"/>
        </w:rPr>
        <w:t>dmi</w:t>
      </w:r>
      <w:r w:rsidR="00177777">
        <w:rPr>
          <w:rFonts w:ascii="Cambria" w:hAnsi="Cambria"/>
          <w:sz w:val="20"/>
        </w:rPr>
        <w:t xml:space="preserve">ssion </w:t>
      </w:r>
      <w:r>
        <w:rPr>
          <w:rFonts w:ascii="Cambria" w:hAnsi="Cambria"/>
          <w:sz w:val="20"/>
        </w:rPr>
        <w:t xml:space="preserve">of the acts and omissions attributed to the State that violate one or more of its obligations under international human rights law. </w:t>
      </w:r>
    </w:p>
    <w:p w14:paraId="3D085FA4"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0549F524" w14:textId="77777777" w:rsidR="000C047C" w:rsidRDefault="000C047C" w:rsidP="000C047C">
      <w:pPr>
        <w:ind w:left="709" w:right="713"/>
        <w:jc w:val="both"/>
        <w:rPr>
          <w:rFonts w:ascii="Cambria" w:hAnsi="Cambria"/>
          <w:sz w:val="20"/>
          <w:szCs w:val="20"/>
        </w:rPr>
      </w:pPr>
      <w:r>
        <w:rPr>
          <w:rFonts w:ascii="Cambria" w:hAnsi="Cambria"/>
          <w:b/>
          <w:sz w:val="20"/>
          <w:u w:val="single"/>
        </w:rPr>
        <w:t>Comprehensive reparation:</w:t>
      </w:r>
      <w:r>
        <w:rPr>
          <w:rFonts w:ascii="Cambria" w:hAnsi="Cambria"/>
          <w:b/>
          <w:sz w:val="20"/>
        </w:rPr>
        <w:t xml:space="preserve"> </w:t>
      </w:r>
      <w:r>
        <w:rPr>
          <w:rFonts w:ascii="Cambria" w:hAnsi="Cambria"/>
          <w:sz w:val="20"/>
        </w:rPr>
        <w:t>All those measures that objectively and symbolically restore the victim to the state prior to the infliction of the damage.</w:t>
      </w:r>
    </w:p>
    <w:p w14:paraId="014E2266"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2D8A5F00" w14:textId="77777777" w:rsidR="000C047C" w:rsidRDefault="000C047C" w:rsidP="000C047C">
      <w:pPr>
        <w:ind w:left="709" w:right="713"/>
        <w:jc w:val="both"/>
        <w:rPr>
          <w:rFonts w:ascii="Cambria" w:hAnsi="Cambria"/>
          <w:sz w:val="20"/>
          <w:szCs w:val="20"/>
        </w:rPr>
      </w:pPr>
      <w:r>
        <w:rPr>
          <w:rFonts w:ascii="Cambria" w:hAnsi="Cambria"/>
          <w:b/>
          <w:sz w:val="20"/>
          <w:u w:val="single"/>
        </w:rPr>
        <w:t>Friendly Settlement:</w:t>
      </w:r>
      <w:r>
        <w:rPr>
          <w:rFonts w:ascii="Cambria" w:hAnsi="Cambria"/>
          <w:b/>
          <w:sz w:val="20"/>
        </w:rPr>
        <w:t xml:space="preserve"> </w:t>
      </w:r>
      <w:r>
        <w:rPr>
          <w:rFonts w:ascii="Cambria" w:hAnsi="Cambria"/>
          <w:sz w:val="20"/>
        </w:rPr>
        <w:t>Alternative dispute resolution mechanism used for peaceful and consensual settlement before the Inter-American Commission.</w:t>
      </w:r>
    </w:p>
    <w:p w14:paraId="306B4277"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1DE1AECE" w14:textId="107F31F7" w:rsidR="000C047C" w:rsidRDefault="000C047C" w:rsidP="000C047C">
      <w:pPr>
        <w:ind w:left="709" w:right="713"/>
        <w:jc w:val="both"/>
        <w:rPr>
          <w:rFonts w:ascii="Cambria" w:hAnsi="Cambria"/>
          <w:sz w:val="20"/>
          <w:szCs w:val="20"/>
        </w:rPr>
      </w:pPr>
      <w:r>
        <w:rPr>
          <w:rFonts w:ascii="Cambria" w:hAnsi="Cambria"/>
          <w:b/>
          <w:sz w:val="20"/>
          <w:u w:val="single"/>
        </w:rPr>
        <w:t>Victims:</w:t>
      </w:r>
      <w:r>
        <w:rPr>
          <w:rFonts w:ascii="Cambria" w:hAnsi="Cambria"/>
          <w:b/>
          <w:sz w:val="20"/>
        </w:rPr>
        <w:t xml:space="preserve"> </w:t>
      </w:r>
      <w:r w:rsidR="003B4E71">
        <w:rPr>
          <w:rFonts w:ascii="Cambria" w:hAnsi="Cambria"/>
          <w:sz w:val="20"/>
        </w:rPr>
        <w:t xml:space="preserve">Family </w:t>
      </w:r>
      <w:r>
        <w:rPr>
          <w:rFonts w:ascii="Cambria" w:hAnsi="Cambria"/>
          <w:sz w:val="20"/>
        </w:rPr>
        <w:t>of Denys del Carmen Olivera, Juan José Montes Balasnoa, and Piedad Montes Olivera.</w:t>
      </w:r>
    </w:p>
    <w:p w14:paraId="75FBCF51" w14:textId="77777777" w:rsidR="000C047C" w:rsidRPr="000A2C03" w:rsidRDefault="000C047C" w:rsidP="000C047C">
      <w:pPr>
        <w:pStyle w:val="paragraph"/>
        <w:spacing w:before="0" w:beforeAutospacing="0" w:after="0" w:afterAutospacing="0"/>
        <w:jc w:val="both"/>
        <w:textAlignment w:val="baseline"/>
        <w:rPr>
          <w:rFonts w:ascii="Cambria" w:hAnsi="Cambria"/>
          <w:bCs/>
          <w:sz w:val="20"/>
          <w:szCs w:val="20"/>
        </w:rPr>
      </w:pPr>
    </w:p>
    <w:p w14:paraId="584D3AA4" w14:textId="7AAC8F24" w:rsidR="000C047C" w:rsidRDefault="003B4E71" w:rsidP="000C047C">
      <w:pPr>
        <w:ind w:left="709" w:right="713"/>
        <w:jc w:val="both"/>
        <w:rPr>
          <w:rFonts w:ascii="Cambria" w:hAnsi="Cambria"/>
          <w:b/>
          <w:sz w:val="20"/>
          <w:szCs w:val="20"/>
        </w:rPr>
      </w:pPr>
      <w:r>
        <w:rPr>
          <w:rFonts w:ascii="Cambria" w:hAnsi="Cambria"/>
          <w:b/>
          <w:sz w:val="20"/>
        </w:rPr>
        <w:lastRenderedPageBreak/>
        <w:t xml:space="preserve">PART </w:t>
      </w:r>
      <w:r w:rsidR="000C047C">
        <w:rPr>
          <w:rFonts w:ascii="Cambria" w:hAnsi="Cambria"/>
          <w:b/>
          <w:sz w:val="20"/>
        </w:rPr>
        <w:t xml:space="preserve">TWO: </w:t>
      </w:r>
      <w:r w:rsidR="00BA69FA">
        <w:rPr>
          <w:rFonts w:ascii="Cambria" w:hAnsi="Cambria"/>
          <w:b/>
          <w:sz w:val="20"/>
        </w:rPr>
        <w:t xml:space="preserve">PRELIMINARY </w:t>
      </w:r>
      <w:r w:rsidR="00DD6F28">
        <w:rPr>
          <w:rFonts w:ascii="Cambria" w:hAnsi="Cambria"/>
          <w:b/>
          <w:sz w:val="20"/>
        </w:rPr>
        <w:t>CONSIDERATIONS</w:t>
      </w:r>
    </w:p>
    <w:p w14:paraId="25CF9081" w14:textId="77777777" w:rsidR="000C047C" w:rsidRPr="004B5146" w:rsidRDefault="000C047C" w:rsidP="000C047C">
      <w:pPr>
        <w:pStyle w:val="paragraph"/>
        <w:spacing w:before="0" w:beforeAutospacing="0" w:after="0" w:afterAutospacing="0"/>
        <w:jc w:val="both"/>
        <w:textAlignment w:val="baseline"/>
        <w:rPr>
          <w:rFonts w:ascii="Cambria" w:hAnsi="Cambria"/>
          <w:b/>
          <w:sz w:val="20"/>
          <w:szCs w:val="20"/>
        </w:rPr>
      </w:pPr>
    </w:p>
    <w:p w14:paraId="26E7600F" w14:textId="48FC640B" w:rsidR="000C047C" w:rsidRPr="005913D6" w:rsidRDefault="000C047C" w:rsidP="000C047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b/>
          <w:sz w:val="20"/>
          <w:szCs w:val="20"/>
        </w:rPr>
      </w:pPr>
      <w:r>
        <w:rPr>
          <w:sz w:val="20"/>
        </w:rPr>
        <w:t>On April 22, 2009, the Inter-American Commission on Human Rights received a petition initially filed by attorney Antonio José Contreras Hernández. Currently, the</w:t>
      </w:r>
      <w:r w:rsidR="00EC66E7">
        <w:rPr>
          <w:sz w:val="20"/>
        </w:rPr>
        <w:t xml:space="preserve"> representative </w:t>
      </w:r>
      <w:r w:rsidR="00186996">
        <w:rPr>
          <w:sz w:val="20"/>
        </w:rPr>
        <w:t>of the</w:t>
      </w:r>
      <w:r>
        <w:rPr>
          <w:sz w:val="20"/>
        </w:rPr>
        <w:t xml:space="preserve"> victims</w:t>
      </w:r>
      <w:r w:rsidR="00186996">
        <w:rPr>
          <w:sz w:val="20"/>
        </w:rPr>
        <w:t xml:space="preserve"> </w:t>
      </w:r>
      <w:r>
        <w:rPr>
          <w:sz w:val="20"/>
        </w:rPr>
        <w:t xml:space="preserve"> is Dr. Francisco Javier Herrera Sánchez.</w:t>
      </w:r>
    </w:p>
    <w:p w14:paraId="155CE5F6" w14:textId="77777777" w:rsidR="000C047C" w:rsidRPr="000A2C03" w:rsidRDefault="000C047C" w:rsidP="000C047C">
      <w:pPr>
        <w:pStyle w:val="paragraph"/>
        <w:spacing w:before="0" w:beforeAutospacing="0" w:after="0" w:afterAutospacing="0"/>
        <w:jc w:val="both"/>
        <w:textAlignment w:val="baseline"/>
        <w:rPr>
          <w:rFonts w:ascii="Cambria" w:hAnsi="Cambria"/>
          <w:b/>
          <w:sz w:val="20"/>
          <w:szCs w:val="20"/>
        </w:rPr>
      </w:pPr>
    </w:p>
    <w:p w14:paraId="27EEBEEC" w14:textId="6F7597F8" w:rsidR="000C047C" w:rsidRPr="005913D6" w:rsidRDefault="000C047C" w:rsidP="000C047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b/>
          <w:sz w:val="20"/>
          <w:szCs w:val="20"/>
        </w:rPr>
      </w:pPr>
      <w:r>
        <w:rPr>
          <w:sz w:val="20"/>
        </w:rPr>
        <w:t xml:space="preserve">In the initial petition it was mentioned by way of context that between 1996 and 2008 there were multiple homicides in </w:t>
      </w:r>
      <w:r w:rsidR="000F51CF">
        <w:rPr>
          <w:sz w:val="20"/>
        </w:rPr>
        <w:t xml:space="preserve">various </w:t>
      </w:r>
      <w:r>
        <w:rPr>
          <w:sz w:val="20"/>
        </w:rPr>
        <w:t xml:space="preserve">areas of the municipality of Ovejas, Sucre, and surrounding municipalities. It was </w:t>
      </w:r>
      <w:r w:rsidR="00520867">
        <w:rPr>
          <w:sz w:val="20"/>
        </w:rPr>
        <w:t xml:space="preserve">stated </w:t>
      </w:r>
      <w:r>
        <w:rPr>
          <w:sz w:val="20"/>
        </w:rPr>
        <w:t xml:space="preserve">that these occurred due to the absence of police and military authorities. It was stated that the local </w:t>
      </w:r>
      <w:r w:rsidR="009D1D3C">
        <w:rPr>
          <w:sz w:val="20"/>
        </w:rPr>
        <w:t xml:space="preserve">residents </w:t>
      </w:r>
      <w:r>
        <w:rPr>
          <w:sz w:val="20"/>
        </w:rPr>
        <w:t xml:space="preserve">requested the Police and Armed Forces to </w:t>
      </w:r>
      <w:r w:rsidR="005A503D">
        <w:rPr>
          <w:sz w:val="20"/>
        </w:rPr>
        <w:t xml:space="preserve">adopt </w:t>
      </w:r>
      <w:r>
        <w:rPr>
          <w:sz w:val="20"/>
        </w:rPr>
        <w:t>preven</w:t>
      </w:r>
      <w:r w:rsidR="00EF6561">
        <w:rPr>
          <w:sz w:val="20"/>
        </w:rPr>
        <w:t>ta</w:t>
      </w:r>
      <w:r>
        <w:rPr>
          <w:sz w:val="20"/>
        </w:rPr>
        <w:t xml:space="preserve">tive measures </w:t>
      </w:r>
      <w:r w:rsidR="00EF6561">
        <w:rPr>
          <w:sz w:val="20"/>
        </w:rPr>
        <w:t xml:space="preserve">in light </w:t>
      </w:r>
      <w:r w:rsidR="00246BEE">
        <w:rPr>
          <w:sz w:val="20"/>
        </w:rPr>
        <w:t xml:space="preserve">of </w:t>
      </w:r>
      <w:r>
        <w:rPr>
          <w:sz w:val="20"/>
        </w:rPr>
        <w:t>the intervention of armed groups, without receiving any response.</w:t>
      </w:r>
    </w:p>
    <w:p w14:paraId="0D1F3230"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00D515BC" w14:textId="0D53FF88" w:rsidR="000C047C" w:rsidRPr="003F7A43" w:rsidRDefault="000C047C" w:rsidP="000C047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b/>
          <w:sz w:val="20"/>
          <w:szCs w:val="20"/>
        </w:rPr>
      </w:pPr>
      <w:r>
        <w:rPr>
          <w:sz w:val="20"/>
        </w:rPr>
        <w:t xml:space="preserve">The petition alleged that on November 2, 1998, in the rural area known as La Recta, husband and wife Juan José Montes Balasnoa and Denys del Carmen Olivera, as well as their daughter Piedad Montes Olivera, were stopped and forced to get out of their vehicle. Subsequently, all three were shot </w:t>
      </w:r>
      <w:r w:rsidR="009175D2">
        <w:rPr>
          <w:sz w:val="20"/>
        </w:rPr>
        <w:t>and killed</w:t>
      </w:r>
      <w:r>
        <w:rPr>
          <w:sz w:val="20"/>
        </w:rPr>
        <w:t xml:space="preserve">. </w:t>
      </w:r>
    </w:p>
    <w:p w14:paraId="09AF8CEA" w14:textId="77777777" w:rsidR="000C047C" w:rsidRPr="003F7A43" w:rsidRDefault="000C047C" w:rsidP="000C047C">
      <w:pPr>
        <w:pStyle w:val="paragraph"/>
        <w:spacing w:before="0" w:beforeAutospacing="0" w:after="0" w:afterAutospacing="0"/>
        <w:jc w:val="both"/>
        <w:textAlignment w:val="baseline"/>
        <w:rPr>
          <w:rFonts w:ascii="Cambria" w:hAnsi="Cambria"/>
          <w:sz w:val="20"/>
          <w:szCs w:val="20"/>
          <w:lang w:val="es-MX"/>
        </w:rPr>
      </w:pPr>
    </w:p>
    <w:p w14:paraId="2EBDA8A7" w14:textId="19600697" w:rsidR="000C047C" w:rsidRPr="003F7A43" w:rsidRDefault="000C047C" w:rsidP="000C047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Pr>
          <w:sz w:val="20"/>
        </w:rPr>
        <w:t xml:space="preserve">The initial petition states that due to the actions of the United Self-Defense Forces of Colombia (AUC) and the lack of </w:t>
      </w:r>
      <w:r w:rsidR="00A9359F">
        <w:rPr>
          <w:sz w:val="20"/>
        </w:rPr>
        <w:t xml:space="preserve">government </w:t>
      </w:r>
      <w:r>
        <w:rPr>
          <w:sz w:val="20"/>
        </w:rPr>
        <w:t>protection in the</w:t>
      </w:r>
      <w:r w:rsidR="00A404B4">
        <w:rPr>
          <w:sz w:val="20"/>
        </w:rPr>
        <w:t xml:space="preserve"> area</w:t>
      </w:r>
      <w:r>
        <w:rPr>
          <w:sz w:val="20"/>
        </w:rPr>
        <w:t xml:space="preserve"> where the events </w:t>
      </w:r>
      <w:r w:rsidR="00A9359F">
        <w:rPr>
          <w:sz w:val="20"/>
        </w:rPr>
        <w:t>occurred</w:t>
      </w:r>
      <w:r>
        <w:rPr>
          <w:sz w:val="20"/>
        </w:rPr>
        <w:t xml:space="preserve">, the </w:t>
      </w:r>
      <w:r w:rsidR="00A9359F">
        <w:rPr>
          <w:sz w:val="20"/>
        </w:rPr>
        <w:t xml:space="preserve">family members of the </w:t>
      </w:r>
      <w:r>
        <w:rPr>
          <w:sz w:val="20"/>
        </w:rPr>
        <w:t>alleged victims were forced to abandon their homes</w:t>
      </w:r>
      <w:r w:rsidR="00C35948">
        <w:rPr>
          <w:sz w:val="20"/>
        </w:rPr>
        <w:t xml:space="preserve"> </w:t>
      </w:r>
      <w:r>
        <w:rPr>
          <w:sz w:val="20"/>
        </w:rPr>
        <w:t xml:space="preserve">and belongings and were forcibly displaced. </w:t>
      </w:r>
    </w:p>
    <w:p w14:paraId="3CFBE420" w14:textId="77777777" w:rsidR="000C047C" w:rsidRPr="000A2C03" w:rsidRDefault="000C047C" w:rsidP="000C047C">
      <w:pPr>
        <w:ind w:right="713"/>
        <w:jc w:val="both"/>
        <w:rPr>
          <w:rFonts w:ascii="Cambria" w:hAnsi="Cambria"/>
          <w:sz w:val="20"/>
          <w:szCs w:val="20"/>
        </w:rPr>
      </w:pPr>
    </w:p>
    <w:p w14:paraId="266B6C77" w14:textId="2F2EF708" w:rsidR="000C047C" w:rsidRPr="003F7A43" w:rsidRDefault="000C047C" w:rsidP="000C047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Pr>
          <w:sz w:val="20"/>
        </w:rPr>
        <w:t xml:space="preserve">Regarding the background of the case, the initial petition indicates that on the day of the events, the family filed a complaint with the National Police of the municipality of Ovejas-Sucre and with the Ninth Sectional Prosecutor's Office of Corozal. However, it </w:t>
      </w:r>
      <w:r w:rsidR="006B32B6">
        <w:rPr>
          <w:sz w:val="20"/>
        </w:rPr>
        <w:t xml:space="preserve">stated </w:t>
      </w:r>
      <w:r>
        <w:rPr>
          <w:sz w:val="20"/>
        </w:rPr>
        <w:t xml:space="preserve">that the </w:t>
      </w:r>
      <w:r w:rsidR="00A33786">
        <w:rPr>
          <w:sz w:val="20"/>
        </w:rPr>
        <w:t xml:space="preserve">officers </w:t>
      </w:r>
      <w:r w:rsidR="00466DAE">
        <w:rPr>
          <w:sz w:val="20"/>
        </w:rPr>
        <w:t xml:space="preserve">from </w:t>
      </w:r>
      <w:r>
        <w:rPr>
          <w:sz w:val="20"/>
        </w:rPr>
        <w:t xml:space="preserve">these entities refrained from </w:t>
      </w:r>
      <w:r w:rsidR="009250F5">
        <w:rPr>
          <w:sz w:val="20"/>
        </w:rPr>
        <w:t xml:space="preserve">coordinating </w:t>
      </w:r>
      <w:r>
        <w:rPr>
          <w:sz w:val="20"/>
        </w:rPr>
        <w:t xml:space="preserve">the removal of the bodies, so the </w:t>
      </w:r>
      <w:r w:rsidR="00A623F4">
        <w:rPr>
          <w:sz w:val="20"/>
        </w:rPr>
        <w:t xml:space="preserve">family </w:t>
      </w:r>
      <w:r w:rsidR="00800991">
        <w:rPr>
          <w:sz w:val="20"/>
        </w:rPr>
        <w:t xml:space="preserve">took the bodies </w:t>
      </w:r>
      <w:r>
        <w:rPr>
          <w:sz w:val="20"/>
        </w:rPr>
        <w:t xml:space="preserve">to the morgue of the Municipality of Ovejas. </w:t>
      </w:r>
    </w:p>
    <w:p w14:paraId="022CE24F" w14:textId="77777777" w:rsidR="000C047C" w:rsidRPr="000A2C03" w:rsidRDefault="000C047C" w:rsidP="000C047C">
      <w:pPr>
        <w:ind w:right="713"/>
        <w:jc w:val="both"/>
        <w:rPr>
          <w:rFonts w:ascii="Cambria" w:hAnsi="Cambria"/>
          <w:sz w:val="20"/>
          <w:szCs w:val="20"/>
        </w:rPr>
      </w:pPr>
    </w:p>
    <w:p w14:paraId="0EF29258" w14:textId="78F8EE48" w:rsidR="000C047C" w:rsidRPr="003F7A43" w:rsidRDefault="000C047C" w:rsidP="000C047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Pr>
          <w:sz w:val="20"/>
        </w:rPr>
        <w:t xml:space="preserve">The petitioning party alleges that decades have passed without the State having investigated, identified, or punished those responsible for these </w:t>
      </w:r>
      <w:r w:rsidR="00690FF0">
        <w:rPr>
          <w:sz w:val="20"/>
        </w:rPr>
        <w:t>events</w:t>
      </w:r>
      <w:r>
        <w:rPr>
          <w:sz w:val="20"/>
        </w:rPr>
        <w:t xml:space="preserve">. In this regard, the Ninth Sectional Prosecutor's Office of Corozal initiated an investigation under file number 801. Investigators were unable to identify the alleged perpetrators and participants in the </w:t>
      </w:r>
      <w:r w:rsidR="003F75E9">
        <w:rPr>
          <w:sz w:val="20"/>
        </w:rPr>
        <w:t>murders</w:t>
      </w:r>
      <w:r>
        <w:rPr>
          <w:sz w:val="20"/>
        </w:rPr>
        <w:t xml:space="preserve">, </w:t>
      </w:r>
      <w:r w:rsidR="003F75E9">
        <w:rPr>
          <w:sz w:val="20"/>
        </w:rPr>
        <w:t>so</w:t>
      </w:r>
      <w:r>
        <w:rPr>
          <w:sz w:val="20"/>
        </w:rPr>
        <w:t xml:space="preserve"> on May 28, 1999, the </w:t>
      </w:r>
      <w:r w:rsidR="001669D8">
        <w:rPr>
          <w:sz w:val="20"/>
        </w:rPr>
        <w:t>investigation was closed</w:t>
      </w:r>
      <w:r>
        <w:rPr>
          <w:sz w:val="20"/>
        </w:rPr>
        <w:t xml:space="preserve">. However, according to information from the Prosecutor's Office, the </w:t>
      </w:r>
      <w:r w:rsidR="00E66530">
        <w:rPr>
          <w:sz w:val="20"/>
        </w:rPr>
        <w:t xml:space="preserve">case </w:t>
      </w:r>
      <w:r>
        <w:rPr>
          <w:sz w:val="20"/>
        </w:rPr>
        <w:t xml:space="preserve">file was not found in the </w:t>
      </w:r>
      <w:r w:rsidR="00D90BC1">
        <w:rPr>
          <w:sz w:val="20"/>
        </w:rPr>
        <w:t xml:space="preserve">archive of </w:t>
      </w:r>
      <w:r>
        <w:rPr>
          <w:sz w:val="20"/>
        </w:rPr>
        <w:t xml:space="preserve">Corozal - Sucre, </w:t>
      </w:r>
      <w:r w:rsidR="006E7962">
        <w:rPr>
          <w:sz w:val="20"/>
        </w:rPr>
        <w:t>thus</w:t>
      </w:r>
      <w:r>
        <w:rPr>
          <w:sz w:val="20"/>
        </w:rPr>
        <w:t xml:space="preserve">, as of 2014, </w:t>
      </w:r>
      <w:r w:rsidR="00E66530">
        <w:rPr>
          <w:sz w:val="20"/>
        </w:rPr>
        <w:t xml:space="preserve">a </w:t>
      </w:r>
      <w:r>
        <w:rPr>
          <w:sz w:val="20"/>
        </w:rPr>
        <w:t xml:space="preserve">reconstruction of the </w:t>
      </w:r>
      <w:r w:rsidR="008E3B31">
        <w:rPr>
          <w:sz w:val="20"/>
        </w:rPr>
        <w:t xml:space="preserve">case </w:t>
      </w:r>
      <w:r>
        <w:rPr>
          <w:sz w:val="20"/>
        </w:rPr>
        <w:t>file was ordered.</w:t>
      </w:r>
    </w:p>
    <w:p w14:paraId="0AE502CE"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0EA9523C" w14:textId="6370E637" w:rsidR="000C047C" w:rsidRPr="005913D6" w:rsidRDefault="000C047C" w:rsidP="000C047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Pr>
          <w:sz w:val="20"/>
        </w:rPr>
        <w:t>The Third Delegated Prosecutor's Office before the Criminal Court of the Specialized Circuit of Sincelejo decided</w:t>
      </w:r>
      <w:r w:rsidR="009972E6">
        <w:rPr>
          <w:sz w:val="20"/>
        </w:rPr>
        <w:t>, by means of a Resolution dated December 13, 2021,</w:t>
      </w:r>
      <w:r>
        <w:rPr>
          <w:sz w:val="20"/>
        </w:rPr>
        <w:t xml:space="preserve"> not to initiate the criminal investigation, </w:t>
      </w:r>
      <w:r w:rsidR="007C6350">
        <w:rPr>
          <w:sz w:val="20"/>
        </w:rPr>
        <w:t xml:space="preserve">since </w:t>
      </w:r>
      <w:r>
        <w:rPr>
          <w:sz w:val="20"/>
        </w:rPr>
        <w:t xml:space="preserve">the statute of limitations had expired. </w:t>
      </w:r>
    </w:p>
    <w:p w14:paraId="10C48085"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5D83350C" w14:textId="549AB47C" w:rsidR="000C047C" w:rsidRPr="005913D6" w:rsidRDefault="000C047C" w:rsidP="000C047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13" w:hanging="11"/>
        <w:contextualSpacing/>
        <w:jc w:val="both"/>
        <w:rPr>
          <w:sz w:val="20"/>
          <w:szCs w:val="20"/>
        </w:rPr>
      </w:pPr>
      <w:r>
        <w:rPr>
          <w:sz w:val="20"/>
        </w:rPr>
        <w:t xml:space="preserve">On the other hand, according to records No. 66221, 650169, 698066, 651170, 308932, and 698062, folder No. 66221, </w:t>
      </w:r>
      <w:r w:rsidR="006336E5">
        <w:rPr>
          <w:sz w:val="20"/>
        </w:rPr>
        <w:t xml:space="preserve">from </w:t>
      </w:r>
      <w:r>
        <w:rPr>
          <w:sz w:val="20"/>
        </w:rPr>
        <w:t xml:space="preserve">the Justice and Peace Information System, the 144th Specialized Prosecutor's Office reporting to </w:t>
      </w:r>
      <w:r w:rsidR="009578F4">
        <w:rPr>
          <w:sz w:val="20"/>
        </w:rPr>
        <w:t>12th</w:t>
      </w:r>
      <w:r w:rsidR="009578F4">
        <w:rPr>
          <w:sz w:val="20"/>
          <w:vertAlign w:val="superscript"/>
        </w:rPr>
        <w:t xml:space="preserve"> </w:t>
      </w:r>
      <w:r w:rsidR="004020BB" w:rsidRPr="00AA132A">
        <w:rPr>
          <w:sz w:val="20"/>
        </w:rPr>
        <w:t>Prosecutor</w:t>
      </w:r>
      <w:r w:rsidR="004020BB">
        <w:rPr>
          <w:sz w:val="20"/>
        </w:rPr>
        <w:t xml:space="preserve">’s </w:t>
      </w:r>
      <w:r>
        <w:rPr>
          <w:sz w:val="20"/>
        </w:rPr>
        <w:t xml:space="preserve">Office assigned to the Court of Barranquilla is </w:t>
      </w:r>
      <w:r w:rsidR="008B1147">
        <w:rPr>
          <w:sz w:val="20"/>
        </w:rPr>
        <w:t xml:space="preserve">assigned to </w:t>
      </w:r>
      <w:r>
        <w:rPr>
          <w:sz w:val="20"/>
        </w:rPr>
        <w:t>investigat</w:t>
      </w:r>
      <w:r w:rsidR="008B1147">
        <w:rPr>
          <w:sz w:val="20"/>
        </w:rPr>
        <w:t xml:space="preserve">e </w:t>
      </w:r>
      <w:r>
        <w:rPr>
          <w:sz w:val="20"/>
        </w:rPr>
        <w:t>the case in said jurisdiction.</w:t>
      </w:r>
    </w:p>
    <w:p w14:paraId="0D96F92F"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73E24228" w14:textId="4E0ACCAB" w:rsidR="000C047C" w:rsidRPr="005913D6" w:rsidRDefault="000C047C" w:rsidP="000C047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Pr>
          <w:sz w:val="20"/>
        </w:rPr>
        <w:t xml:space="preserve">The 144th Specialized Prosecutor's Office reported that on August 25, 2014, the facts were attributed to </w:t>
      </w:r>
      <w:r w:rsidR="008B1147">
        <w:rPr>
          <w:sz w:val="20"/>
        </w:rPr>
        <w:t xml:space="preserve">the </w:t>
      </w:r>
      <w:r>
        <w:rPr>
          <w:sz w:val="20"/>
        </w:rPr>
        <w:t xml:space="preserve">defendant Salvatore Mancuso Gómez, who accepted them as pertaining to his chain of command </w:t>
      </w:r>
      <w:r>
        <w:rPr>
          <w:i/>
          <w:iCs/>
          <w:sz w:val="20"/>
        </w:rPr>
        <w:t>(por línea de mando).</w:t>
      </w:r>
      <w:r>
        <w:rPr>
          <w:sz w:val="20"/>
        </w:rPr>
        <w:t xml:space="preserve"> However, in subsequent informal proceedings </w:t>
      </w:r>
      <w:r>
        <w:rPr>
          <w:i/>
          <w:iCs/>
          <w:sz w:val="20"/>
        </w:rPr>
        <w:t>(diligencias de versión libre)</w:t>
      </w:r>
      <w:r>
        <w:rPr>
          <w:sz w:val="20"/>
        </w:rPr>
        <w:t xml:space="preserve">, the </w:t>
      </w:r>
      <w:r w:rsidR="0071512D">
        <w:rPr>
          <w:sz w:val="20"/>
        </w:rPr>
        <w:t xml:space="preserve">former </w:t>
      </w:r>
      <w:r>
        <w:rPr>
          <w:sz w:val="20"/>
        </w:rPr>
        <w:t>members of the Montes de María Bloc of the AUC stated that they had no knowledge of the murders.</w:t>
      </w:r>
    </w:p>
    <w:p w14:paraId="4A1100AD"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0953C857" w14:textId="5B5BCA0E" w:rsidR="000C047C" w:rsidRPr="005913D6" w:rsidRDefault="000C047C" w:rsidP="000C047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Pr>
          <w:sz w:val="20"/>
        </w:rPr>
        <w:t xml:space="preserve">On November 2, 2000, the </w:t>
      </w:r>
      <w:r w:rsidR="00625226">
        <w:rPr>
          <w:sz w:val="20"/>
        </w:rPr>
        <w:t xml:space="preserve">family </w:t>
      </w:r>
      <w:r>
        <w:rPr>
          <w:sz w:val="20"/>
        </w:rPr>
        <w:t xml:space="preserve">of the victims filed a </w:t>
      </w:r>
      <w:r w:rsidR="00625226">
        <w:rPr>
          <w:sz w:val="20"/>
        </w:rPr>
        <w:t xml:space="preserve">claim </w:t>
      </w:r>
      <w:r>
        <w:rPr>
          <w:sz w:val="20"/>
        </w:rPr>
        <w:t xml:space="preserve">for direct reparation before the </w:t>
      </w:r>
      <w:r w:rsidR="001D1659">
        <w:rPr>
          <w:sz w:val="20"/>
        </w:rPr>
        <w:t xml:space="preserve">jurisdiction of the </w:t>
      </w:r>
      <w:r>
        <w:rPr>
          <w:sz w:val="20"/>
        </w:rPr>
        <w:t xml:space="preserve">administrative </w:t>
      </w:r>
      <w:r w:rsidR="001D1659">
        <w:rPr>
          <w:sz w:val="20"/>
        </w:rPr>
        <w:t xml:space="preserve">courts </w:t>
      </w:r>
      <w:r>
        <w:rPr>
          <w:i/>
          <w:iCs/>
          <w:sz w:val="20"/>
        </w:rPr>
        <w:t>(jurisdicción contenciosa administrativa)</w:t>
      </w:r>
      <w:r>
        <w:rPr>
          <w:sz w:val="20"/>
        </w:rPr>
        <w:t>, which was registered under file No.</w:t>
      </w:r>
      <w:r>
        <w:rPr>
          <w:sz w:val="20"/>
          <w:shd w:val="clear" w:color="auto" w:fill="FFFFFF"/>
        </w:rPr>
        <w:t xml:space="preserve"> </w:t>
      </w:r>
      <w:r>
        <w:rPr>
          <w:sz w:val="20"/>
        </w:rPr>
        <w:t xml:space="preserve">70001233100020000143800. On February 21, 2008, </w:t>
      </w:r>
      <w:r w:rsidR="000C10C3">
        <w:rPr>
          <w:sz w:val="20"/>
        </w:rPr>
        <w:t xml:space="preserve">the </w:t>
      </w:r>
      <w:r w:rsidR="000C10C3">
        <w:rPr>
          <w:sz w:val="20"/>
        </w:rPr>
        <w:lastRenderedPageBreak/>
        <w:t xml:space="preserve">Court </w:t>
      </w:r>
      <w:r>
        <w:rPr>
          <w:sz w:val="20"/>
        </w:rPr>
        <w:t xml:space="preserve">denied the claims on the grounds that there was no evidence to hold the State liable for the damage caused. An appeal was filed against this decision, </w:t>
      </w:r>
      <w:r w:rsidR="003B1AAA">
        <w:rPr>
          <w:sz w:val="20"/>
        </w:rPr>
        <w:t xml:space="preserve">but </w:t>
      </w:r>
      <w:r>
        <w:rPr>
          <w:sz w:val="20"/>
        </w:rPr>
        <w:t xml:space="preserve">was denied on April 17, 2008, </w:t>
      </w:r>
      <w:r w:rsidR="003B1AAA">
        <w:rPr>
          <w:sz w:val="20"/>
        </w:rPr>
        <w:t xml:space="preserve">on the grounds </w:t>
      </w:r>
      <w:r>
        <w:rPr>
          <w:sz w:val="20"/>
        </w:rPr>
        <w:t xml:space="preserve">that </w:t>
      </w:r>
      <w:r w:rsidR="003B1AAA">
        <w:rPr>
          <w:sz w:val="20"/>
        </w:rPr>
        <w:t xml:space="preserve">it </w:t>
      </w:r>
      <w:r>
        <w:rPr>
          <w:sz w:val="20"/>
        </w:rPr>
        <w:t xml:space="preserve">was a sole instance proceeding. </w:t>
      </w:r>
    </w:p>
    <w:p w14:paraId="6E395CC3" w14:textId="77777777" w:rsidR="000C047C" w:rsidRPr="000A2C03" w:rsidRDefault="000C047C" w:rsidP="000C047C">
      <w:pPr>
        <w:ind w:right="713"/>
        <w:jc w:val="both"/>
        <w:rPr>
          <w:rFonts w:ascii="Cambria" w:hAnsi="Cambria"/>
          <w:sz w:val="20"/>
          <w:szCs w:val="20"/>
        </w:rPr>
      </w:pPr>
    </w:p>
    <w:p w14:paraId="29A896A8" w14:textId="632E3538" w:rsidR="000C047C" w:rsidRPr="005913D6" w:rsidRDefault="003B1AAA" w:rsidP="000C047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Pr>
          <w:sz w:val="20"/>
        </w:rPr>
        <w:t xml:space="preserve">By </w:t>
      </w:r>
      <w:r w:rsidR="000C047C">
        <w:rPr>
          <w:sz w:val="20"/>
        </w:rPr>
        <w:t xml:space="preserve">Report No. 212/19 of August 13, 2019, the Inter-American Commission on Human Rights </w:t>
      </w:r>
      <w:r w:rsidR="00A34AC4">
        <w:rPr>
          <w:sz w:val="20"/>
        </w:rPr>
        <w:t xml:space="preserve">found the petition admissible with respect to </w:t>
      </w:r>
      <w:r w:rsidR="000C047C">
        <w:rPr>
          <w:sz w:val="20"/>
        </w:rPr>
        <w:t xml:space="preserve">the alleged violation of the rights to life, </w:t>
      </w:r>
      <w:r w:rsidR="007674DF">
        <w:rPr>
          <w:sz w:val="20"/>
        </w:rPr>
        <w:t>humane treatment</w:t>
      </w:r>
      <w:r w:rsidR="000C047C">
        <w:rPr>
          <w:sz w:val="20"/>
        </w:rPr>
        <w:t>, j</w:t>
      </w:r>
      <w:r w:rsidR="007674DF">
        <w:rPr>
          <w:sz w:val="20"/>
        </w:rPr>
        <w:t>fair trial</w:t>
      </w:r>
      <w:r w:rsidR="000C047C">
        <w:rPr>
          <w:sz w:val="20"/>
        </w:rPr>
        <w:t xml:space="preserve">, family protection, movement and residence, judicial protection, and economic, social, and cultural rights, enshrined in Articles 4, 5, 8, 17, 22, 25 and 26 respectively, in </w:t>
      </w:r>
      <w:r w:rsidR="00CC3799">
        <w:rPr>
          <w:sz w:val="20"/>
        </w:rPr>
        <w:t xml:space="preserve">connection </w:t>
      </w:r>
      <w:r w:rsidR="000C047C">
        <w:rPr>
          <w:sz w:val="20"/>
        </w:rPr>
        <w:t>to Articles 1.1. and 2 of the American Convention.</w:t>
      </w:r>
    </w:p>
    <w:p w14:paraId="43A88193"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327FB660" w14:textId="7EBC7E81" w:rsidR="000C047C" w:rsidRPr="005913D6" w:rsidRDefault="000C047C" w:rsidP="000C047C">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9" w:right="713" w:firstLine="0"/>
        <w:contextualSpacing/>
        <w:jc w:val="both"/>
        <w:rPr>
          <w:sz w:val="20"/>
          <w:szCs w:val="20"/>
        </w:rPr>
      </w:pPr>
      <w:r>
        <w:rPr>
          <w:sz w:val="20"/>
        </w:rPr>
        <w:t>The State expressed its intention to initiate a process of friendly settlement, and on May 9, 2022, the parties signed a Memorandum of Understanding for the Search for a Friendly Settlement Agreement</w:t>
      </w:r>
    </w:p>
    <w:p w14:paraId="68844FC6" w14:textId="77777777" w:rsidR="000C047C" w:rsidRPr="000A2C03" w:rsidRDefault="000C047C" w:rsidP="000C047C">
      <w:pPr>
        <w:tabs>
          <w:tab w:val="left" w:pos="8640"/>
        </w:tabs>
        <w:ind w:right="720"/>
        <w:textAlignment w:val="baseline"/>
        <w:rPr>
          <w:rFonts w:ascii="Cambria" w:eastAsia="Times New Roman" w:hAnsi="Cambria" w:cs="Segoe UI"/>
          <w:b/>
          <w:bCs/>
          <w:color w:val="000000"/>
          <w:sz w:val="20"/>
          <w:szCs w:val="20"/>
        </w:rPr>
      </w:pPr>
    </w:p>
    <w:p w14:paraId="36F54309" w14:textId="3F0FD9BB" w:rsidR="000C047C" w:rsidRPr="00F902B6" w:rsidRDefault="00181234" w:rsidP="000C047C">
      <w:pPr>
        <w:tabs>
          <w:tab w:val="left" w:pos="8640"/>
        </w:tabs>
        <w:ind w:left="720" w:right="720"/>
        <w:textAlignment w:val="baseline"/>
        <w:rPr>
          <w:rFonts w:ascii="Cambria" w:eastAsia="Times New Roman" w:hAnsi="Cambria" w:cs="Segoe UI"/>
          <w:b/>
          <w:bCs/>
          <w:color w:val="000000"/>
          <w:sz w:val="20"/>
          <w:szCs w:val="20"/>
        </w:rPr>
      </w:pPr>
      <w:r>
        <w:rPr>
          <w:rFonts w:ascii="Cambria" w:hAnsi="Cambria"/>
          <w:b/>
          <w:color w:val="000000"/>
          <w:sz w:val="20"/>
        </w:rPr>
        <w:t xml:space="preserve">PART </w:t>
      </w:r>
      <w:r w:rsidR="000C047C">
        <w:rPr>
          <w:rFonts w:ascii="Cambria" w:hAnsi="Cambria"/>
          <w:b/>
          <w:color w:val="000000"/>
          <w:sz w:val="20"/>
        </w:rPr>
        <w:t xml:space="preserve">THREE: BENEFICIARIES </w:t>
      </w:r>
    </w:p>
    <w:p w14:paraId="7A197D84" w14:textId="77777777" w:rsidR="000C047C" w:rsidRPr="000A2C03" w:rsidRDefault="000C047C" w:rsidP="000C047C">
      <w:pPr>
        <w:pStyle w:val="paragraph"/>
        <w:spacing w:before="0" w:beforeAutospacing="0" w:after="0" w:afterAutospacing="0"/>
        <w:jc w:val="both"/>
        <w:textAlignment w:val="baseline"/>
        <w:rPr>
          <w:rFonts w:ascii="Cambria" w:hAnsi="Cambria" w:cs="Segoe UI"/>
          <w:b/>
          <w:bCs/>
          <w:strike/>
          <w:color w:val="000000"/>
          <w:sz w:val="20"/>
          <w:szCs w:val="20"/>
        </w:rPr>
      </w:pPr>
    </w:p>
    <w:p w14:paraId="3EF13B92" w14:textId="77777777" w:rsidR="000C047C" w:rsidRPr="00F902B6" w:rsidRDefault="000C047C" w:rsidP="000C047C">
      <w:pPr>
        <w:tabs>
          <w:tab w:val="left" w:pos="8640"/>
        </w:tabs>
        <w:ind w:left="720" w:right="720"/>
        <w:jc w:val="both"/>
        <w:textAlignment w:val="baseline"/>
        <w:rPr>
          <w:rFonts w:ascii="Cambria" w:eastAsia="Times New Roman" w:hAnsi="Cambria" w:cs="Segoe UI"/>
          <w:color w:val="000000"/>
          <w:sz w:val="20"/>
          <w:szCs w:val="20"/>
        </w:rPr>
      </w:pPr>
      <w:r>
        <w:rPr>
          <w:rFonts w:ascii="Cambria" w:hAnsi="Cambria"/>
          <w:color w:val="000000"/>
          <w:sz w:val="20"/>
        </w:rPr>
        <w:t>The Colombian State recognizes the following persons as victims in this agreement:</w:t>
      </w:r>
    </w:p>
    <w:p w14:paraId="47872B60" w14:textId="77777777" w:rsidR="000C047C" w:rsidRPr="000A2C03" w:rsidRDefault="000C047C" w:rsidP="000C047C">
      <w:pPr>
        <w:pStyle w:val="paragraph"/>
        <w:spacing w:before="0" w:beforeAutospacing="0" w:after="0" w:afterAutospacing="0"/>
        <w:jc w:val="both"/>
        <w:textAlignment w:val="baseline"/>
        <w:rPr>
          <w:rFonts w:ascii="Cambria" w:hAnsi="Cambria" w:cs="Segoe UI"/>
          <w:b/>
          <w:bCs/>
          <w:strike/>
          <w:color w:val="000000"/>
          <w:sz w:val="20"/>
          <w:szCs w:val="20"/>
        </w:rPr>
      </w:pPr>
    </w:p>
    <w:tbl>
      <w:tblPr>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1843"/>
        <w:gridCol w:w="2551"/>
      </w:tblGrid>
      <w:tr w:rsidR="000C047C" w:rsidRPr="00F902B6" w14:paraId="30B7D9C5" w14:textId="77777777" w:rsidTr="004C634E">
        <w:trPr>
          <w:trHeight w:val="288"/>
        </w:trPr>
        <w:tc>
          <w:tcPr>
            <w:tcW w:w="2410" w:type="dxa"/>
            <w:shd w:val="clear" w:color="auto" w:fill="D9D9D9" w:themeFill="background1" w:themeFillShade="D9"/>
          </w:tcPr>
          <w:p w14:paraId="2797EBD3" w14:textId="77777777" w:rsidR="000C047C" w:rsidRPr="00F902B6" w:rsidRDefault="000C047C" w:rsidP="004C634E">
            <w:pPr>
              <w:tabs>
                <w:tab w:val="left" w:pos="8640"/>
              </w:tabs>
              <w:ind w:left="281" w:right="262"/>
              <w:jc w:val="center"/>
              <w:textAlignment w:val="baseline"/>
              <w:rPr>
                <w:rFonts w:ascii="Cambria" w:eastAsia="Times New Roman" w:hAnsi="Cambria" w:cs="Segoe UI"/>
                <w:b/>
                <w:bCs/>
                <w:color w:val="000000"/>
                <w:sz w:val="20"/>
                <w:szCs w:val="20"/>
              </w:rPr>
            </w:pPr>
            <w:r>
              <w:rPr>
                <w:rFonts w:ascii="Cambria" w:hAnsi="Cambria"/>
                <w:b/>
                <w:color w:val="000000"/>
                <w:sz w:val="20"/>
              </w:rPr>
              <w:t>Name</w:t>
            </w:r>
          </w:p>
        </w:tc>
        <w:tc>
          <w:tcPr>
            <w:tcW w:w="1843" w:type="dxa"/>
            <w:shd w:val="clear" w:color="auto" w:fill="D9D9D9" w:themeFill="background1" w:themeFillShade="D9"/>
          </w:tcPr>
          <w:p w14:paraId="0A3ED15A" w14:textId="77777777" w:rsidR="000C047C" w:rsidRPr="00F902B6" w:rsidRDefault="000C047C" w:rsidP="004C634E">
            <w:pPr>
              <w:tabs>
                <w:tab w:val="left" w:pos="8640"/>
              </w:tabs>
              <w:ind w:left="182" w:right="200" w:hanging="190"/>
              <w:jc w:val="center"/>
              <w:textAlignment w:val="baseline"/>
              <w:rPr>
                <w:rFonts w:ascii="Cambria" w:eastAsia="Times New Roman" w:hAnsi="Cambria" w:cs="Segoe UI"/>
                <w:b/>
                <w:bCs/>
                <w:color w:val="000000"/>
                <w:sz w:val="20"/>
                <w:szCs w:val="20"/>
              </w:rPr>
            </w:pPr>
            <w:r>
              <w:rPr>
                <w:rFonts w:ascii="Cambria" w:hAnsi="Cambria"/>
                <w:b/>
                <w:color w:val="000000"/>
                <w:sz w:val="20"/>
              </w:rPr>
              <w:t>Identity document</w:t>
            </w:r>
          </w:p>
        </w:tc>
        <w:tc>
          <w:tcPr>
            <w:tcW w:w="2551" w:type="dxa"/>
            <w:shd w:val="clear" w:color="auto" w:fill="D9D9D9" w:themeFill="background1" w:themeFillShade="D9"/>
          </w:tcPr>
          <w:p w14:paraId="26F2190D" w14:textId="77777777" w:rsidR="000C047C" w:rsidRPr="00F902B6" w:rsidRDefault="000C047C" w:rsidP="004C634E">
            <w:pPr>
              <w:tabs>
                <w:tab w:val="left" w:pos="8640"/>
              </w:tabs>
              <w:ind w:left="344" w:right="270" w:hanging="184"/>
              <w:jc w:val="center"/>
              <w:textAlignment w:val="baseline"/>
              <w:rPr>
                <w:rFonts w:ascii="Cambria" w:eastAsia="Times New Roman" w:hAnsi="Cambria" w:cs="Segoe UI"/>
                <w:b/>
                <w:bCs/>
                <w:color w:val="000000"/>
                <w:sz w:val="20"/>
                <w:szCs w:val="20"/>
              </w:rPr>
            </w:pPr>
            <w:r>
              <w:rPr>
                <w:rFonts w:ascii="Cambria" w:hAnsi="Cambria"/>
                <w:b/>
                <w:color w:val="000000"/>
                <w:sz w:val="20"/>
              </w:rPr>
              <w:t>Relationship</w:t>
            </w:r>
          </w:p>
        </w:tc>
      </w:tr>
      <w:tr w:rsidR="000C047C" w:rsidRPr="00120D31" w14:paraId="2ADCE6E3" w14:textId="77777777" w:rsidTr="004C634E">
        <w:trPr>
          <w:trHeight w:val="288"/>
        </w:trPr>
        <w:tc>
          <w:tcPr>
            <w:tcW w:w="2410" w:type="dxa"/>
          </w:tcPr>
          <w:p w14:paraId="182A3070" w14:textId="77777777" w:rsidR="000C047C" w:rsidRPr="000A2C03" w:rsidRDefault="000C047C" w:rsidP="004C634E">
            <w:pPr>
              <w:tabs>
                <w:tab w:val="left" w:pos="8640"/>
              </w:tabs>
              <w:ind w:left="113" w:right="262"/>
              <w:textAlignment w:val="baseline"/>
              <w:rPr>
                <w:rFonts w:ascii="Cambria" w:eastAsia="Times New Roman" w:hAnsi="Cambria" w:cs="Segoe UI"/>
                <w:color w:val="000000"/>
                <w:sz w:val="20"/>
                <w:szCs w:val="20"/>
                <w:lang w:val="es-US"/>
              </w:rPr>
            </w:pPr>
            <w:r w:rsidRPr="000A2C03">
              <w:rPr>
                <w:rFonts w:ascii="Cambria" w:hAnsi="Cambria"/>
                <w:color w:val="000000"/>
                <w:sz w:val="20"/>
                <w:lang w:val="es-US"/>
              </w:rPr>
              <w:t>Amparo del Carmen Montes Olivera</w:t>
            </w:r>
          </w:p>
        </w:tc>
        <w:tc>
          <w:tcPr>
            <w:tcW w:w="1843" w:type="dxa"/>
          </w:tcPr>
          <w:p w14:paraId="2590F24F" w14:textId="77777777" w:rsidR="000C047C" w:rsidRPr="00F902B6" w:rsidRDefault="000C047C" w:rsidP="004C634E">
            <w:pPr>
              <w:tabs>
                <w:tab w:val="left" w:pos="8640"/>
              </w:tabs>
              <w:ind w:left="362" w:right="200" w:hanging="190"/>
              <w:jc w:val="center"/>
              <w:textAlignment w:val="baseline"/>
              <w:rPr>
                <w:rFonts w:ascii="Cambria" w:eastAsia="Times New Roman" w:hAnsi="Cambria" w:cs="Segoe UI"/>
                <w:color w:val="000000"/>
                <w:sz w:val="20"/>
                <w:szCs w:val="20"/>
              </w:rPr>
            </w:pPr>
            <w:r>
              <w:rPr>
                <w:rFonts w:ascii="Cambria" w:hAnsi="Cambria"/>
                <w:color w:val="000000"/>
                <w:sz w:val="20"/>
              </w:rPr>
              <w:t>(…)</w:t>
            </w:r>
          </w:p>
        </w:tc>
        <w:tc>
          <w:tcPr>
            <w:tcW w:w="2551" w:type="dxa"/>
          </w:tcPr>
          <w:p w14:paraId="44AC8E53" w14:textId="77777777" w:rsidR="000C047C" w:rsidRPr="00F902B6" w:rsidRDefault="000C047C" w:rsidP="004C634E">
            <w:pPr>
              <w:tabs>
                <w:tab w:val="left" w:pos="8640"/>
              </w:tabs>
              <w:ind w:left="139" w:right="138"/>
              <w:jc w:val="both"/>
              <w:textAlignment w:val="baseline"/>
              <w:rPr>
                <w:rFonts w:ascii="Cambria" w:eastAsia="Times New Roman" w:hAnsi="Cambria" w:cs="Segoe UI"/>
                <w:color w:val="000000"/>
                <w:sz w:val="20"/>
                <w:szCs w:val="20"/>
              </w:rPr>
            </w:pPr>
            <w:r>
              <w:rPr>
                <w:rFonts w:ascii="Cambria" w:hAnsi="Cambria"/>
                <w:color w:val="000000"/>
                <w:sz w:val="20"/>
              </w:rPr>
              <w:t>Daughter of Juan José Montes Balasnoa and Denys Olivera de Montes</w:t>
            </w:r>
          </w:p>
        </w:tc>
      </w:tr>
      <w:tr w:rsidR="000C047C" w:rsidRPr="00120D31" w14:paraId="2D56A4E2" w14:textId="77777777" w:rsidTr="004C634E">
        <w:trPr>
          <w:trHeight w:val="295"/>
        </w:trPr>
        <w:tc>
          <w:tcPr>
            <w:tcW w:w="2410" w:type="dxa"/>
          </w:tcPr>
          <w:p w14:paraId="7792590B" w14:textId="77777777" w:rsidR="000C047C" w:rsidRPr="00F902B6" w:rsidRDefault="000C047C" w:rsidP="004C634E">
            <w:pPr>
              <w:tabs>
                <w:tab w:val="left" w:pos="8640"/>
              </w:tabs>
              <w:ind w:left="113" w:right="262"/>
              <w:textAlignment w:val="baseline"/>
              <w:rPr>
                <w:rFonts w:ascii="Cambria" w:eastAsia="Times New Roman" w:hAnsi="Cambria" w:cs="Segoe UI"/>
                <w:color w:val="000000"/>
                <w:sz w:val="20"/>
                <w:szCs w:val="20"/>
              </w:rPr>
            </w:pPr>
            <w:r>
              <w:rPr>
                <w:rFonts w:ascii="Cambria" w:hAnsi="Cambria"/>
                <w:color w:val="000000"/>
                <w:sz w:val="20"/>
              </w:rPr>
              <w:t>Juan José Montes Olivera</w:t>
            </w:r>
          </w:p>
        </w:tc>
        <w:tc>
          <w:tcPr>
            <w:tcW w:w="1843" w:type="dxa"/>
          </w:tcPr>
          <w:p w14:paraId="446EFF3F" w14:textId="77777777" w:rsidR="000C047C" w:rsidRPr="00F902B6" w:rsidRDefault="000C047C" w:rsidP="004C634E">
            <w:pPr>
              <w:tabs>
                <w:tab w:val="left" w:pos="8640"/>
              </w:tabs>
              <w:ind w:left="362" w:right="200" w:hanging="190"/>
              <w:jc w:val="center"/>
              <w:textAlignment w:val="baseline"/>
              <w:rPr>
                <w:rFonts w:ascii="Cambria" w:eastAsia="Times New Roman" w:hAnsi="Cambria" w:cs="Segoe UI"/>
                <w:color w:val="000000"/>
                <w:sz w:val="20"/>
                <w:szCs w:val="20"/>
              </w:rPr>
            </w:pPr>
            <w:r>
              <w:rPr>
                <w:rFonts w:ascii="Cambria" w:hAnsi="Cambria"/>
                <w:color w:val="000000"/>
                <w:sz w:val="20"/>
              </w:rPr>
              <w:t>(…)</w:t>
            </w:r>
          </w:p>
        </w:tc>
        <w:tc>
          <w:tcPr>
            <w:tcW w:w="2551" w:type="dxa"/>
          </w:tcPr>
          <w:p w14:paraId="7142DE4A" w14:textId="77777777" w:rsidR="000C047C" w:rsidRPr="00F902B6" w:rsidRDefault="000C047C" w:rsidP="004C634E">
            <w:pPr>
              <w:tabs>
                <w:tab w:val="left" w:pos="8640"/>
              </w:tabs>
              <w:ind w:left="139" w:right="138"/>
              <w:jc w:val="both"/>
              <w:textAlignment w:val="baseline"/>
              <w:rPr>
                <w:rFonts w:ascii="Cambria" w:eastAsia="Times New Roman" w:hAnsi="Cambria" w:cs="Segoe UI"/>
                <w:color w:val="000000"/>
                <w:sz w:val="20"/>
                <w:szCs w:val="20"/>
              </w:rPr>
            </w:pPr>
            <w:r>
              <w:rPr>
                <w:rFonts w:ascii="Cambria" w:hAnsi="Cambria"/>
                <w:color w:val="000000"/>
                <w:sz w:val="20"/>
              </w:rPr>
              <w:t>Son of Juan José Montes Balasnoa and Denys Olivera de Montes</w:t>
            </w:r>
          </w:p>
        </w:tc>
      </w:tr>
      <w:tr w:rsidR="000C047C" w:rsidRPr="00120D31" w14:paraId="6B0E8B36" w14:textId="77777777" w:rsidTr="004C634E">
        <w:trPr>
          <w:trHeight w:val="288"/>
        </w:trPr>
        <w:tc>
          <w:tcPr>
            <w:tcW w:w="2410" w:type="dxa"/>
          </w:tcPr>
          <w:p w14:paraId="7000506F" w14:textId="77777777" w:rsidR="000C047C" w:rsidRPr="00F902B6" w:rsidRDefault="000C047C" w:rsidP="004C634E">
            <w:pPr>
              <w:tabs>
                <w:tab w:val="left" w:pos="8640"/>
              </w:tabs>
              <w:ind w:left="113" w:right="262"/>
              <w:textAlignment w:val="baseline"/>
              <w:rPr>
                <w:rFonts w:ascii="Cambria" w:eastAsia="Times New Roman" w:hAnsi="Cambria" w:cs="Segoe UI"/>
                <w:color w:val="000000"/>
                <w:sz w:val="20"/>
                <w:szCs w:val="20"/>
              </w:rPr>
            </w:pPr>
            <w:r>
              <w:rPr>
                <w:rFonts w:ascii="Cambria" w:hAnsi="Cambria"/>
                <w:color w:val="000000"/>
                <w:sz w:val="20"/>
              </w:rPr>
              <w:t>Bernarda Berena Montes Olivera</w:t>
            </w:r>
          </w:p>
        </w:tc>
        <w:tc>
          <w:tcPr>
            <w:tcW w:w="1843" w:type="dxa"/>
          </w:tcPr>
          <w:p w14:paraId="571AA676" w14:textId="77777777" w:rsidR="000C047C" w:rsidRPr="00F902B6" w:rsidRDefault="000C047C" w:rsidP="004C634E">
            <w:pPr>
              <w:tabs>
                <w:tab w:val="left" w:pos="8640"/>
              </w:tabs>
              <w:ind w:left="362" w:right="200" w:hanging="190"/>
              <w:jc w:val="center"/>
              <w:textAlignment w:val="baseline"/>
              <w:rPr>
                <w:rFonts w:ascii="Cambria" w:eastAsia="Times New Roman" w:hAnsi="Cambria" w:cs="Segoe UI"/>
                <w:color w:val="000000"/>
                <w:sz w:val="20"/>
                <w:szCs w:val="20"/>
              </w:rPr>
            </w:pPr>
            <w:r>
              <w:rPr>
                <w:rFonts w:ascii="Cambria" w:hAnsi="Cambria"/>
                <w:color w:val="000000"/>
                <w:sz w:val="20"/>
              </w:rPr>
              <w:t>(…)</w:t>
            </w:r>
          </w:p>
        </w:tc>
        <w:tc>
          <w:tcPr>
            <w:tcW w:w="2551" w:type="dxa"/>
          </w:tcPr>
          <w:p w14:paraId="3470EBB0" w14:textId="77777777" w:rsidR="000C047C" w:rsidRPr="00F902B6" w:rsidRDefault="000C047C" w:rsidP="004C634E">
            <w:pPr>
              <w:tabs>
                <w:tab w:val="left" w:pos="8640"/>
              </w:tabs>
              <w:ind w:left="139" w:right="138"/>
              <w:jc w:val="both"/>
              <w:textAlignment w:val="baseline"/>
              <w:rPr>
                <w:rFonts w:ascii="Cambria" w:eastAsia="Times New Roman" w:hAnsi="Cambria" w:cs="Segoe UI"/>
                <w:color w:val="000000"/>
                <w:sz w:val="20"/>
                <w:szCs w:val="20"/>
              </w:rPr>
            </w:pPr>
            <w:r>
              <w:rPr>
                <w:rFonts w:ascii="Cambria" w:hAnsi="Cambria"/>
                <w:color w:val="000000"/>
                <w:sz w:val="20"/>
              </w:rPr>
              <w:t>Daughter of Juan José Montes Balasnoa and Denys Olivera de Montes</w:t>
            </w:r>
          </w:p>
        </w:tc>
      </w:tr>
      <w:tr w:rsidR="000C047C" w:rsidRPr="00120D31" w14:paraId="49A53E44" w14:textId="77777777" w:rsidTr="004C634E">
        <w:trPr>
          <w:trHeight w:val="256"/>
        </w:trPr>
        <w:tc>
          <w:tcPr>
            <w:tcW w:w="2410" w:type="dxa"/>
          </w:tcPr>
          <w:p w14:paraId="27FF9360" w14:textId="77777777" w:rsidR="000C047C" w:rsidRPr="00F902B6" w:rsidRDefault="000C047C" w:rsidP="004C634E">
            <w:pPr>
              <w:tabs>
                <w:tab w:val="left" w:pos="8640"/>
              </w:tabs>
              <w:ind w:left="169" w:right="262"/>
              <w:jc w:val="both"/>
              <w:textAlignment w:val="baseline"/>
              <w:rPr>
                <w:rFonts w:ascii="Cambria" w:eastAsia="Times New Roman" w:hAnsi="Cambria" w:cs="Segoe UI"/>
                <w:color w:val="000000"/>
                <w:sz w:val="20"/>
                <w:szCs w:val="20"/>
              </w:rPr>
            </w:pPr>
            <w:r>
              <w:rPr>
                <w:rFonts w:ascii="Cambria" w:hAnsi="Cambria"/>
                <w:color w:val="000000"/>
                <w:sz w:val="20"/>
              </w:rPr>
              <w:t>Jarold David Montes Olivera</w:t>
            </w:r>
          </w:p>
        </w:tc>
        <w:tc>
          <w:tcPr>
            <w:tcW w:w="1843" w:type="dxa"/>
          </w:tcPr>
          <w:p w14:paraId="12C58DFD" w14:textId="77777777" w:rsidR="000C047C" w:rsidRPr="00F902B6" w:rsidRDefault="000C047C" w:rsidP="004C634E">
            <w:pPr>
              <w:tabs>
                <w:tab w:val="left" w:pos="8640"/>
              </w:tabs>
              <w:ind w:left="362" w:right="200" w:hanging="190"/>
              <w:jc w:val="center"/>
              <w:textAlignment w:val="baseline"/>
              <w:rPr>
                <w:rFonts w:ascii="Cambria" w:eastAsia="Times New Roman" w:hAnsi="Cambria" w:cs="Segoe UI"/>
                <w:color w:val="000000"/>
                <w:sz w:val="20"/>
                <w:szCs w:val="20"/>
              </w:rPr>
            </w:pPr>
            <w:r>
              <w:rPr>
                <w:rFonts w:ascii="Cambria" w:hAnsi="Cambria"/>
                <w:color w:val="000000"/>
                <w:sz w:val="20"/>
              </w:rPr>
              <w:t>(…)</w:t>
            </w:r>
          </w:p>
        </w:tc>
        <w:tc>
          <w:tcPr>
            <w:tcW w:w="2551" w:type="dxa"/>
          </w:tcPr>
          <w:p w14:paraId="3FE4DAA8" w14:textId="77777777" w:rsidR="000C047C" w:rsidRPr="005913D6" w:rsidRDefault="000C047C" w:rsidP="004C634E">
            <w:pPr>
              <w:tabs>
                <w:tab w:val="left" w:pos="1698"/>
                <w:tab w:val="left" w:pos="8640"/>
              </w:tabs>
              <w:ind w:left="139" w:right="138"/>
              <w:jc w:val="both"/>
              <w:textAlignment w:val="baseline"/>
              <w:rPr>
                <w:rFonts w:ascii="Cambria" w:eastAsia="Times New Roman" w:hAnsi="Cambria" w:cs="Segoe UI"/>
                <w:color w:val="000000"/>
                <w:sz w:val="20"/>
                <w:szCs w:val="20"/>
              </w:rPr>
            </w:pPr>
            <w:r>
              <w:rPr>
                <w:rFonts w:ascii="Cambria" w:hAnsi="Cambria"/>
                <w:color w:val="000000"/>
                <w:sz w:val="20"/>
              </w:rPr>
              <w:t>Son of Juan José Montes Balasnoa and Denys Olivera de Montes</w:t>
            </w:r>
          </w:p>
        </w:tc>
      </w:tr>
      <w:tr w:rsidR="000C047C" w:rsidRPr="00120D31" w14:paraId="0AB60854" w14:textId="77777777" w:rsidTr="004C634E">
        <w:trPr>
          <w:trHeight w:val="323"/>
        </w:trPr>
        <w:tc>
          <w:tcPr>
            <w:tcW w:w="2410" w:type="dxa"/>
          </w:tcPr>
          <w:p w14:paraId="63528B5F" w14:textId="77777777" w:rsidR="000C047C" w:rsidRPr="005913D6" w:rsidRDefault="000C047C" w:rsidP="004C634E">
            <w:pPr>
              <w:tabs>
                <w:tab w:val="left" w:pos="8640"/>
              </w:tabs>
              <w:ind w:left="113" w:right="262"/>
              <w:jc w:val="both"/>
              <w:textAlignment w:val="baseline"/>
              <w:rPr>
                <w:rFonts w:ascii="Cambria" w:eastAsia="Times New Roman" w:hAnsi="Cambria" w:cs="Segoe UI"/>
                <w:color w:val="000000"/>
                <w:sz w:val="20"/>
                <w:szCs w:val="20"/>
              </w:rPr>
            </w:pPr>
            <w:r>
              <w:rPr>
                <w:rFonts w:ascii="Cambria" w:hAnsi="Cambria"/>
                <w:color w:val="000000"/>
                <w:sz w:val="20"/>
              </w:rPr>
              <w:t>Astolfo Nain Montes Olivera</w:t>
            </w:r>
          </w:p>
        </w:tc>
        <w:tc>
          <w:tcPr>
            <w:tcW w:w="1843" w:type="dxa"/>
          </w:tcPr>
          <w:p w14:paraId="70B99F17" w14:textId="77777777" w:rsidR="000C047C" w:rsidRPr="005913D6" w:rsidRDefault="000C047C" w:rsidP="004C634E">
            <w:pPr>
              <w:tabs>
                <w:tab w:val="left" w:pos="8640"/>
              </w:tabs>
              <w:ind w:left="362" w:right="200" w:hanging="190"/>
              <w:jc w:val="center"/>
              <w:textAlignment w:val="baseline"/>
              <w:rPr>
                <w:rFonts w:ascii="Cambria" w:eastAsia="Times New Roman" w:hAnsi="Cambria" w:cs="Segoe UI"/>
                <w:color w:val="000000"/>
                <w:sz w:val="20"/>
                <w:szCs w:val="20"/>
              </w:rPr>
            </w:pPr>
            <w:r>
              <w:rPr>
                <w:rFonts w:ascii="Cambria" w:hAnsi="Cambria"/>
                <w:color w:val="000000"/>
                <w:sz w:val="20"/>
              </w:rPr>
              <w:t>(…)</w:t>
            </w:r>
          </w:p>
        </w:tc>
        <w:tc>
          <w:tcPr>
            <w:tcW w:w="2551" w:type="dxa"/>
          </w:tcPr>
          <w:p w14:paraId="1C191E8F" w14:textId="77777777" w:rsidR="000C047C" w:rsidRPr="005913D6" w:rsidRDefault="000C047C" w:rsidP="004C634E">
            <w:pPr>
              <w:tabs>
                <w:tab w:val="left" w:pos="8640"/>
              </w:tabs>
              <w:ind w:left="139" w:right="138"/>
              <w:jc w:val="both"/>
              <w:textAlignment w:val="baseline"/>
              <w:rPr>
                <w:rFonts w:ascii="Cambria" w:eastAsia="Times New Roman" w:hAnsi="Cambria" w:cs="Segoe UI"/>
                <w:color w:val="000000"/>
                <w:sz w:val="20"/>
                <w:szCs w:val="20"/>
              </w:rPr>
            </w:pPr>
            <w:r>
              <w:rPr>
                <w:rFonts w:ascii="Cambria" w:hAnsi="Cambria"/>
                <w:color w:val="000000"/>
                <w:sz w:val="20"/>
              </w:rPr>
              <w:t>Son of Juan José Montes Balasnoa and Denys Olivera de Montes</w:t>
            </w:r>
          </w:p>
        </w:tc>
      </w:tr>
      <w:tr w:rsidR="000C047C" w:rsidRPr="00120D31" w14:paraId="4797521D" w14:textId="77777777" w:rsidTr="004C634E">
        <w:trPr>
          <w:trHeight w:val="245"/>
        </w:trPr>
        <w:tc>
          <w:tcPr>
            <w:tcW w:w="2410" w:type="dxa"/>
          </w:tcPr>
          <w:p w14:paraId="046A30B9" w14:textId="77777777" w:rsidR="000C047C" w:rsidRPr="005913D6" w:rsidRDefault="000C047C" w:rsidP="004C634E">
            <w:pPr>
              <w:tabs>
                <w:tab w:val="left" w:pos="8640"/>
              </w:tabs>
              <w:ind w:left="113" w:right="262"/>
              <w:jc w:val="both"/>
              <w:textAlignment w:val="baseline"/>
              <w:rPr>
                <w:rFonts w:ascii="Cambria" w:eastAsia="Times New Roman" w:hAnsi="Cambria" w:cs="Segoe UI"/>
                <w:color w:val="000000"/>
                <w:sz w:val="20"/>
                <w:szCs w:val="20"/>
              </w:rPr>
            </w:pPr>
            <w:r>
              <w:rPr>
                <w:rFonts w:ascii="Cambria" w:hAnsi="Cambria"/>
                <w:color w:val="000000"/>
                <w:sz w:val="20"/>
              </w:rPr>
              <w:t>Libia del Socorro Olivera de Perez</w:t>
            </w:r>
          </w:p>
        </w:tc>
        <w:tc>
          <w:tcPr>
            <w:tcW w:w="1843" w:type="dxa"/>
          </w:tcPr>
          <w:p w14:paraId="78DBD124" w14:textId="77777777" w:rsidR="000C047C" w:rsidRPr="005913D6" w:rsidRDefault="000C047C" w:rsidP="004C634E">
            <w:pPr>
              <w:tabs>
                <w:tab w:val="left" w:pos="8640"/>
              </w:tabs>
              <w:ind w:left="362" w:right="200" w:hanging="190"/>
              <w:jc w:val="center"/>
              <w:textAlignment w:val="baseline"/>
              <w:rPr>
                <w:rFonts w:ascii="Cambria" w:eastAsia="Times New Roman" w:hAnsi="Cambria" w:cs="Segoe UI"/>
                <w:color w:val="000000"/>
                <w:sz w:val="20"/>
                <w:szCs w:val="20"/>
              </w:rPr>
            </w:pPr>
            <w:r>
              <w:rPr>
                <w:rFonts w:ascii="Cambria" w:hAnsi="Cambria"/>
                <w:color w:val="000000"/>
                <w:sz w:val="20"/>
              </w:rPr>
              <w:t>(…)</w:t>
            </w:r>
          </w:p>
        </w:tc>
        <w:tc>
          <w:tcPr>
            <w:tcW w:w="2551" w:type="dxa"/>
          </w:tcPr>
          <w:p w14:paraId="23F34B2A" w14:textId="77777777" w:rsidR="000C047C" w:rsidRPr="005913D6" w:rsidRDefault="000C047C" w:rsidP="004C634E">
            <w:pPr>
              <w:tabs>
                <w:tab w:val="left" w:pos="8640"/>
              </w:tabs>
              <w:ind w:left="139" w:right="138"/>
              <w:jc w:val="both"/>
              <w:textAlignment w:val="baseline"/>
              <w:rPr>
                <w:rFonts w:ascii="Cambria" w:eastAsia="Times New Roman" w:hAnsi="Cambria" w:cs="Segoe UI"/>
                <w:color w:val="000000"/>
                <w:sz w:val="20"/>
                <w:szCs w:val="20"/>
              </w:rPr>
            </w:pPr>
            <w:r>
              <w:rPr>
                <w:rFonts w:ascii="Cambria" w:hAnsi="Cambria"/>
                <w:color w:val="000000"/>
                <w:sz w:val="20"/>
              </w:rPr>
              <w:t>Sister of Denys Olivera, aunt of Piedad Montes Olivera, and sister-in-law of Juan José Montes Balasnoa</w:t>
            </w:r>
          </w:p>
        </w:tc>
      </w:tr>
      <w:tr w:rsidR="000C047C" w:rsidRPr="00120D31" w14:paraId="2D092D8D" w14:textId="77777777" w:rsidTr="004C634E">
        <w:trPr>
          <w:trHeight w:val="245"/>
        </w:trPr>
        <w:tc>
          <w:tcPr>
            <w:tcW w:w="2410" w:type="dxa"/>
          </w:tcPr>
          <w:p w14:paraId="133603CC" w14:textId="77777777" w:rsidR="000C047C" w:rsidRPr="000A2C03" w:rsidRDefault="000C047C" w:rsidP="004C634E">
            <w:pPr>
              <w:tabs>
                <w:tab w:val="left" w:pos="8640"/>
              </w:tabs>
              <w:ind w:left="113" w:right="262"/>
              <w:jc w:val="both"/>
              <w:textAlignment w:val="baseline"/>
              <w:rPr>
                <w:rFonts w:ascii="Cambria" w:eastAsia="Times New Roman" w:hAnsi="Cambria" w:cs="Segoe UI"/>
                <w:color w:val="000000"/>
                <w:sz w:val="20"/>
                <w:szCs w:val="20"/>
                <w:lang w:val="es-US"/>
              </w:rPr>
            </w:pPr>
            <w:r w:rsidRPr="000A2C03">
              <w:rPr>
                <w:rFonts w:ascii="Cambria" w:hAnsi="Cambria"/>
                <w:color w:val="000000"/>
                <w:sz w:val="20"/>
                <w:lang w:val="es-US"/>
              </w:rPr>
              <w:t>Prudencia María Olivera de Perez</w:t>
            </w:r>
          </w:p>
        </w:tc>
        <w:tc>
          <w:tcPr>
            <w:tcW w:w="1843" w:type="dxa"/>
          </w:tcPr>
          <w:p w14:paraId="1A3C53BF" w14:textId="77777777" w:rsidR="000C047C" w:rsidRPr="005913D6" w:rsidRDefault="000C047C" w:rsidP="004C634E">
            <w:pPr>
              <w:tabs>
                <w:tab w:val="left" w:pos="8640"/>
              </w:tabs>
              <w:ind w:left="362" w:right="200" w:hanging="190"/>
              <w:jc w:val="center"/>
              <w:textAlignment w:val="baseline"/>
              <w:rPr>
                <w:rFonts w:ascii="Cambria" w:eastAsia="Times New Roman" w:hAnsi="Cambria" w:cs="Segoe UI"/>
                <w:color w:val="000000"/>
                <w:sz w:val="20"/>
                <w:szCs w:val="20"/>
              </w:rPr>
            </w:pPr>
            <w:r>
              <w:rPr>
                <w:rFonts w:ascii="Cambria" w:hAnsi="Cambria"/>
                <w:color w:val="000000"/>
                <w:sz w:val="20"/>
              </w:rPr>
              <w:t>(…)</w:t>
            </w:r>
          </w:p>
        </w:tc>
        <w:tc>
          <w:tcPr>
            <w:tcW w:w="2551" w:type="dxa"/>
          </w:tcPr>
          <w:p w14:paraId="1765876D" w14:textId="77777777" w:rsidR="000C047C" w:rsidRPr="005913D6" w:rsidRDefault="000C047C" w:rsidP="004C634E">
            <w:pPr>
              <w:tabs>
                <w:tab w:val="left" w:pos="8640"/>
              </w:tabs>
              <w:ind w:left="139" w:right="138"/>
              <w:jc w:val="both"/>
              <w:textAlignment w:val="baseline"/>
              <w:rPr>
                <w:rFonts w:ascii="Cambria" w:eastAsia="Times New Roman" w:hAnsi="Cambria" w:cs="Segoe UI"/>
                <w:color w:val="000000"/>
                <w:sz w:val="20"/>
                <w:szCs w:val="20"/>
              </w:rPr>
            </w:pPr>
            <w:r>
              <w:rPr>
                <w:rFonts w:ascii="Cambria" w:hAnsi="Cambria"/>
                <w:color w:val="000000"/>
                <w:sz w:val="20"/>
              </w:rPr>
              <w:t>Sister of Denys Olivera, aunt of Piedad Montes Olivera, and sister-in-law of Juan José Montes Balasnoa</w:t>
            </w:r>
          </w:p>
        </w:tc>
      </w:tr>
      <w:tr w:rsidR="000C047C" w:rsidRPr="00120D31" w14:paraId="2D4F60AB" w14:textId="77777777" w:rsidTr="004C634E">
        <w:trPr>
          <w:trHeight w:val="245"/>
        </w:trPr>
        <w:tc>
          <w:tcPr>
            <w:tcW w:w="2410" w:type="dxa"/>
          </w:tcPr>
          <w:p w14:paraId="5425429A" w14:textId="77777777" w:rsidR="000C047C" w:rsidRPr="005913D6" w:rsidRDefault="000C047C" w:rsidP="004C634E">
            <w:pPr>
              <w:tabs>
                <w:tab w:val="left" w:pos="8640"/>
              </w:tabs>
              <w:ind w:left="113" w:right="262"/>
              <w:jc w:val="both"/>
              <w:textAlignment w:val="baseline"/>
              <w:rPr>
                <w:rFonts w:ascii="Cambria" w:eastAsia="Times New Roman" w:hAnsi="Cambria" w:cs="Segoe UI"/>
                <w:color w:val="000000"/>
                <w:sz w:val="20"/>
                <w:szCs w:val="20"/>
              </w:rPr>
            </w:pPr>
            <w:r>
              <w:rPr>
                <w:rFonts w:ascii="Cambria" w:hAnsi="Cambria"/>
                <w:color w:val="000000"/>
                <w:sz w:val="20"/>
              </w:rPr>
              <w:t>María Auxiliadora Olivera Paniza</w:t>
            </w:r>
          </w:p>
        </w:tc>
        <w:tc>
          <w:tcPr>
            <w:tcW w:w="1843" w:type="dxa"/>
          </w:tcPr>
          <w:p w14:paraId="3478F99E" w14:textId="77777777" w:rsidR="000C047C" w:rsidRPr="005913D6" w:rsidRDefault="000C047C" w:rsidP="004C634E">
            <w:pPr>
              <w:tabs>
                <w:tab w:val="left" w:pos="8640"/>
              </w:tabs>
              <w:ind w:left="362" w:right="200" w:hanging="190"/>
              <w:jc w:val="center"/>
              <w:textAlignment w:val="baseline"/>
              <w:rPr>
                <w:rFonts w:ascii="Cambria" w:eastAsia="Times New Roman" w:hAnsi="Cambria" w:cs="Segoe UI"/>
                <w:color w:val="000000"/>
                <w:sz w:val="20"/>
                <w:szCs w:val="20"/>
              </w:rPr>
            </w:pPr>
            <w:r>
              <w:rPr>
                <w:rFonts w:ascii="Cambria" w:hAnsi="Cambria"/>
                <w:color w:val="000000"/>
                <w:sz w:val="20"/>
              </w:rPr>
              <w:t>(…)</w:t>
            </w:r>
          </w:p>
        </w:tc>
        <w:tc>
          <w:tcPr>
            <w:tcW w:w="2551" w:type="dxa"/>
          </w:tcPr>
          <w:p w14:paraId="200CFCEA" w14:textId="77777777" w:rsidR="000C047C" w:rsidRPr="005913D6" w:rsidRDefault="000C047C" w:rsidP="004C634E">
            <w:pPr>
              <w:tabs>
                <w:tab w:val="left" w:pos="8640"/>
              </w:tabs>
              <w:ind w:left="139" w:right="136" w:firstLine="2"/>
              <w:jc w:val="both"/>
              <w:textAlignment w:val="baseline"/>
              <w:rPr>
                <w:rFonts w:ascii="Cambria" w:eastAsia="Times New Roman" w:hAnsi="Cambria" w:cs="Segoe UI"/>
                <w:color w:val="000000"/>
                <w:sz w:val="20"/>
                <w:szCs w:val="20"/>
              </w:rPr>
            </w:pPr>
            <w:r>
              <w:rPr>
                <w:rFonts w:ascii="Cambria" w:hAnsi="Cambria"/>
                <w:color w:val="000000"/>
                <w:sz w:val="20"/>
              </w:rPr>
              <w:t>Sister of Denys Olivera, aunt of Piedad Montes Olivera, and sister-in-law of Juan José Montes Balasnoa</w:t>
            </w:r>
          </w:p>
        </w:tc>
      </w:tr>
      <w:tr w:rsidR="000C047C" w:rsidRPr="00120D31" w14:paraId="0CAC9FA4" w14:textId="77777777" w:rsidTr="004C634E">
        <w:trPr>
          <w:trHeight w:val="245"/>
        </w:trPr>
        <w:tc>
          <w:tcPr>
            <w:tcW w:w="2410" w:type="dxa"/>
          </w:tcPr>
          <w:p w14:paraId="593C5AC8" w14:textId="77777777" w:rsidR="000C047C" w:rsidRPr="005913D6" w:rsidRDefault="000C047C" w:rsidP="004C634E">
            <w:pPr>
              <w:tabs>
                <w:tab w:val="left" w:pos="8640"/>
              </w:tabs>
              <w:ind w:left="113" w:right="262"/>
              <w:jc w:val="both"/>
              <w:textAlignment w:val="baseline"/>
              <w:rPr>
                <w:rFonts w:ascii="Cambria" w:eastAsia="Times New Roman" w:hAnsi="Cambria" w:cs="Segoe UI"/>
                <w:color w:val="000000"/>
                <w:sz w:val="20"/>
                <w:szCs w:val="20"/>
              </w:rPr>
            </w:pPr>
            <w:r>
              <w:rPr>
                <w:rFonts w:ascii="Cambria" w:hAnsi="Cambria"/>
                <w:color w:val="000000"/>
                <w:sz w:val="20"/>
              </w:rPr>
              <w:t>Marlene Isabel Olivera de Estrada</w:t>
            </w:r>
          </w:p>
        </w:tc>
        <w:tc>
          <w:tcPr>
            <w:tcW w:w="1843" w:type="dxa"/>
          </w:tcPr>
          <w:p w14:paraId="7B73A29D" w14:textId="77777777" w:rsidR="000C047C" w:rsidRPr="005913D6" w:rsidRDefault="000C047C" w:rsidP="004C634E">
            <w:pPr>
              <w:tabs>
                <w:tab w:val="left" w:pos="8640"/>
              </w:tabs>
              <w:ind w:left="362" w:right="200" w:hanging="190"/>
              <w:jc w:val="center"/>
              <w:textAlignment w:val="baseline"/>
              <w:rPr>
                <w:rFonts w:ascii="Cambria" w:eastAsia="Times New Roman" w:hAnsi="Cambria" w:cs="Segoe UI"/>
                <w:color w:val="000000"/>
                <w:sz w:val="20"/>
                <w:szCs w:val="20"/>
              </w:rPr>
            </w:pPr>
            <w:r>
              <w:rPr>
                <w:rFonts w:ascii="Cambria" w:hAnsi="Cambria"/>
                <w:color w:val="000000"/>
                <w:sz w:val="20"/>
              </w:rPr>
              <w:t>(…)</w:t>
            </w:r>
          </w:p>
        </w:tc>
        <w:tc>
          <w:tcPr>
            <w:tcW w:w="2551" w:type="dxa"/>
          </w:tcPr>
          <w:p w14:paraId="1E3259D2" w14:textId="77777777" w:rsidR="000C047C" w:rsidRPr="005913D6" w:rsidRDefault="000C047C" w:rsidP="004C634E">
            <w:pPr>
              <w:tabs>
                <w:tab w:val="left" w:pos="1558"/>
                <w:tab w:val="left" w:pos="8640"/>
              </w:tabs>
              <w:ind w:left="141" w:right="136"/>
              <w:jc w:val="both"/>
              <w:textAlignment w:val="baseline"/>
              <w:rPr>
                <w:rFonts w:ascii="Cambria" w:eastAsia="Times New Roman" w:hAnsi="Cambria" w:cs="Segoe UI"/>
                <w:color w:val="000000"/>
                <w:sz w:val="20"/>
                <w:szCs w:val="20"/>
              </w:rPr>
            </w:pPr>
            <w:r>
              <w:rPr>
                <w:rFonts w:ascii="Cambria" w:hAnsi="Cambria"/>
                <w:color w:val="000000"/>
                <w:sz w:val="20"/>
              </w:rPr>
              <w:t xml:space="preserve">Sister of Denys Olivera, aunt of Piedad Montes Olivera, and sister-in-law </w:t>
            </w:r>
            <w:r>
              <w:rPr>
                <w:rFonts w:ascii="Cambria" w:hAnsi="Cambria"/>
                <w:color w:val="000000"/>
                <w:sz w:val="20"/>
              </w:rPr>
              <w:lastRenderedPageBreak/>
              <w:t>of Juan José Montes Balasnoa</w:t>
            </w:r>
          </w:p>
        </w:tc>
      </w:tr>
      <w:tr w:rsidR="000C047C" w:rsidRPr="00120D31" w14:paraId="6652E6BD" w14:textId="77777777" w:rsidTr="004C634E">
        <w:trPr>
          <w:trHeight w:val="245"/>
        </w:trPr>
        <w:tc>
          <w:tcPr>
            <w:tcW w:w="2410" w:type="dxa"/>
          </w:tcPr>
          <w:p w14:paraId="5574FB97" w14:textId="77777777" w:rsidR="000C047C" w:rsidRPr="005913D6" w:rsidRDefault="000C047C" w:rsidP="004C634E">
            <w:pPr>
              <w:tabs>
                <w:tab w:val="left" w:pos="8640"/>
              </w:tabs>
              <w:ind w:left="113" w:right="262"/>
              <w:jc w:val="both"/>
              <w:textAlignment w:val="baseline"/>
              <w:rPr>
                <w:rFonts w:ascii="Cambria" w:eastAsia="Times New Roman" w:hAnsi="Cambria" w:cs="Segoe UI"/>
                <w:color w:val="000000"/>
                <w:sz w:val="20"/>
                <w:szCs w:val="20"/>
              </w:rPr>
            </w:pPr>
            <w:r>
              <w:rPr>
                <w:rFonts w:ascii="Cambria" w:hAnsi="Cambria"/>
                <w:color w:val="000000"/>
                <w:sz w:val="20"/>
              </w:rPr>
              <w:lastRenderedPageBreak/>
              <w:t>Cenaida Isabel Mendivil de Perez</w:t>
            </w:r>
          </w:p>
        </w:tc>
        <w:tc>
          <w:tcPr>
            <w:tcW w:w="1843" w:type="dxa"/>
          </w:tcPr>
          <w:p w14:paraId="03E4C5B9" w14:textId="77777777" w:rsidR="000C047C" w:rsidRPr="005913D6" w:rsidRDefault="000C047C" w:rsidP="004C634E">
            <w:pPr>
              <w:tabs>
                <w:tab w:val="left" w:pos="8640"/>
              </w:tabs>
              <w:ind w:left="362" w:right="200" w:hanging="190"/>
              <w:jc w:val="center"/>
              <w:textAlignment w:val="baseline"/>
              <w:rPr>
                <w:rFonts w:ascii="Cambria" w:eastAsia="Times New Roman" w:hAnsi="Cambria" w:cs="Segoe UI"/>
                <w:color w:val="000000"/>
                <w:sz w:val="20"/>
                <w:szCs w:val="20"/>
              </w:rPr>
            </w:pPr>
            <w:r>
              <w:rPr>
                <w:rFonts w:ascii="Cambria" w:hAnsi="Cambria"/>
                <w:color w:val="000000"/>
                <w:sz w:val="20"/>
              </w:rPr>
              <w:t>(…)</w:t>
            </w:r>
          </w:p>
        </w:tc>
        <w:tc>
          <w:tcPr>
            <w:tcW w:w="2551" w:type="dxa"/>
          </w:tcPr>
          <w:p w14:paraId="7A81F2F7" w14:textId="77777777" w:rsidR="000C047C" w:rsidRPr="005913D6" w:rsidRDefault="000C047C" w:rsidP="004C634E">
            <w:pPr>
              <w:tabs>
                <w:tab w:val="left" w:pos="8640"/>
              </w:tabs>
              <w:ind w:left="141" w:right="136"/>
              <w:jc w:val="both"/>
              <w:textAlignment w:val="baseline"/>
              <w:rPr>
                <w:rFonts w:ascii="Cambria" w:eastAsia="Times New Roman" w:hAnsi="Cambria" w:cs="Segoe UI"/>
                <w:color w:val="000000"/>
                <w:sz w:val="20"/>
                <w:szCs w:val="20"/>
              </w:rPr>
            </w:pPr>
            <w:r>
              <w:rPr>
                <w:rFonts w:ascii="Cambria" w:hAnsi="Cambria"/>
                <w:color w:val="000000"/>
                <w:sz w:val="20"/>
              </w:rPr>
              <w:t>Sister of Denys Olivera, aunt of Piedad Montes Olivera, and sister-in-law of Juan José Montes Balasnoa</w:t>
            </w:r>
          </w:p>
        </w:tc>
      </w:tr>
      <w:tr w:rsidR="000C047C" w:rsidRPr="005913D6" w14:paraId="2C1F449A" w14:textId="77777777" w:rsidTr="004C634E">
        <w:trPr>
          <w:trHeight w:val="245"/>
        </w:trPr>
        <w:tc>
          <w:tcPr>
            <w:tcW w:w="2410" w:type="dxa"/>
          </w:tcPr>
          <w:p w14:paraId="156AC7FD" w14:textId="77777777" w:rsidR="000C047C" w:rsidRPr="005913D6" w:rsidRDefault="000C047C" w:rsidP="004C634E">
            <w:pPr>
              <w:tabs>
                <w:tab w:val="left" w:pos="8640"/>
              </w:tabs>
              <w:ind w:left="113" w:right="262"/>
              <w:jc w:val="both"/>
              <w:textAlignment w:val="baseline"/>
              <w:rPr>
                <w:rFonts w:ascii="Cambria" w:eastAsia="Times New Roman" w:hAnsi="Cambria" w:cs="Segoe UI"/>
                <w:color w:val="000000"/>
                <w:sz w:val="20"/>
                <w:szCs w:val="20"/>
              </w:rPr>
            </w:pPr>
            <w:r>
              <w:rPr>
                <w:rFonts w:ascii="Cambria" w:hAnsi="Cambria"/>
                <w:color w:val="000000"/>
                <w:sz w:val="20"/>
              </w:rPr>
              <w:t>Ronny Manuel Salcedo Monterroza</w:t>
            </w:r>
          </w:p>
        </w:tc>
        <w:tc>
          <w:tcPr>
            <w:tcW w:w="1843" w:type="dxa"/>
          </w:tcPr>
          <w:p w14:paraId="3C86FAE5" w14:textId="77777777" w:rsidR="000C047C" w:rsidRPr="005913D6" w:rsidRDefault="000C047C" w:rsidP="004C634E">
            <w:pPr>
              <w:tabs>
                <w:tab w:val="left" w:pos="8640"/>
              </w:tabs>
              <w:ind w:left="362" w:right="200" w:hanging="190"/>
              <w:jc w:val="center"/>
              <w:textAlignment w:val="baseline"/>
              <w:rPr>
                <w:rFonts w:ascii="Cambria" w:eastAsia="Times New Roman" w:hAnsi="Cambria" w:cs="Segoe UI"/>
                <w:color w:val="000000"/>
                <w:sz w:val="20"/>
                <w:szCs w:val="20"/>
              </w:rPr>
            </w:pPr>
            <w:r>
              <w:rPr>
                <w:rFonts w:ascii="Cambria" w:hAnsi="Cambria"/>
                <w:color w:val="000000"/>
                <w:sz w:val="20"/>
              </w:rPr>
              <w:t>(…)</w:t>
            </w:r>
          </w:p>
        </w:tc>
        <w:tc>
          <w:tcPr>
            <w:tcW w:w="2551" w:type="dxa"/>
          </w:tcPr>
          <w:p w14:paraId="2153EFB2" w14:textId="77777777" w:rsidR="000C047C" w:rsidRPr="005913D6" w:rsidRDefault="000C047C" w:rsidP="004C634E">
            <w:pPr>
              <w:tabs>
                <w:tab w:val="left" w:pos="8640"/>
              </w:tabs>
              <w:ind w:left="141" w:right="136"/>
              <w:jc w:val="both"/>
              <w:textAlignment w:val="baseline"/>
              <w:rPr>
                <w:rFonts w:ascii="Cambria" w:eastAsia="Times New Roman" w:hAnsi="Cambria" w:cs="Segoe UI"/>
                <w:color w:val="000000"/>
                <w:sz w:val="20"/>
                <w:szCs w:val="20"/>
              </w:rPr>
            </w:pPr>
            <w:r>
              <w:rPr>
                <w:rFonts w:ascii="Cambria" w:hAnsi="Cambria"/>
                <w:color w:val="000000"/>
                <w:sz w:val="20"/>
              </w:rPr>
              <w:t>Spouse of Piedad Montes Olivera</w:t>
            </w:r>
          </w:p>
        </w:tc>
      </w:tr>
      <w:tr w:rsidR="000C047C" w:rsidRPr="00120D31" w14:paraId="12449011" w14:textId="77777777" w:rsidTr="004C634E">
        <w:trPr>
          <w:trHeight w:val="245"/>
        </w:trPr>
        <w:tc>
          <w:tcPr>
            <w:tcW w:w="2410" w:type="dxa"/>
          </w:tcPr>
          <w:p w14:paraId="46977F9E" w14:textId="77777777" w:rsidR="000C047C" w:rsidRPr="005913D6" w:rsidRDefault="000C047C" w:rsidP="004C634E">
            <w:pPr>
              <w:tabs>
                <w:tab w:val="left" w:pos="8640"/>
              </w:tabs>
              <w:ind w:left="113" w:right="262"/>
              <w:jc w:val="both"/>
              <w:textAlignment w:val="baseline"/>
              <w:rPr>
                <w:rFonts w:ascii="Cambria" w:eastAsia="Times New Roman" w:hAnsi="Cambria" w:cs="Segoe UI"/>
                <w:color w:val="000000"/>
                <w:sz w:val="20"/>
                <w:szCs w:val="20"/>
              </w:rPr>
            </w:pPr>
            <w:r>
              <w:rPr>
                <w:rFonts w:ascii="Cambria" w:hAnsi="Cambria"/>
                <w:color w:val="000000"/>
                <w:sz w:val="20"/>
              </w:rPr>
              <w:t>Silvio José Salcedo Montes</w:t>
            </w:r>
          </w:p>
        </w:tc>
        <w:tc>
          <w:tcPr>
            <w:tcW w:w="1843" w:type="dxa"/>
          </w:tcPr>
          <w:p w14:paraId="3D07A8AA" w14:textId="77777777" w:rsidR="000C047C" w:rsidRPr="005913D6" w:rsidRDefault="000C047C" w:rsidP="004C634E">
            <w:pPr>
              <w:tabs>
                <w:tab w:val="left" w:pos="8640"/>
              </w:tabs>
              <w:ind w:left="362" w:right="200" w:hanging="190"/>
              <w:jc w:val="center"/>
              <w:textAlignment w:val="baseline"/>
              <w:rPr>
                <w:rFonts w:ascii="Cambria" w:eastAsia="Times New Roman" w:hAnsi="Cambria" w:cs="Segoe UI"/>
                <w:color w:val="000000"/>
                <w:sz w:val="20"/>
                <w:szCs w:val="20"/>
              </w:rPr>
            </w:pPr>
            <w:r>
              <w:rPr>
                <w:rFonts w:ascii="Cambria" w:hAnsi="Cambria"/>
                <w:color w:val="000000"/>
                <w:sz w:val="20"/>
              </w:rPr>
              <w:t>(…)</w:t>
            </w:r>
          </w:p>
        </w:tc>
        <w:tc>
          <w:tcPr>
            <w:tcW w:w="2551" w:type="dxa"/>
          </w:tcPr>
          <w:p w14:paraId="69DE5A8C" w14:textId="77777777" w:rsidR="000C047C" w:rsidRPr="005913D6" w:rsidRDefault="000C047C" w:rsidP="004C634E">
            <w:pPr>
              <w:tabs>
                <w:tab w:val="left" w:pos="8640"/>
              </w:tabs>
              <w:ind w:left="141" w:right="136"/>
              <w:jc w:val="both"/>
              <w:textAlignment w:val="baseline"/>
              <w:rPr>
                <w:rFonts w:ascii="Cambria" w:eastAsia="Times New Roman" w:hAnsi="Cambria" w:cs="Segoe UI"/>
                <w:color w:val="000000"/>
                <w:sz w:val="20"/>
                <w:szCs w:val="20"/>
              </w:rPr>
            </w:pPr>
            <w:r>
              <w:rPr>
                <w:rFonts w:ascii="Cambria" w:hAnsi="Cambria"/>
                <w:color w:val="000000"/>
                <w:sz w:val="20"/>
              </w:rPr>
              <w:t>Son of Piedad Montes Olivera</w:t>
            </w:r>
          </w:p>
        </w:tc>
      </w:tr>
    </w:tbl>
    <w:p w14:paraId="6B57A288" w14:textId="77777777" w:rsidR="000C047C" w:rsidRPr="005913D6" w:rsidRDefault="000C047C" w:rsidP="000C047C">
      <w:pPr>
        <w:pStyle w:val="paragraph"/>
        <w:spacing w:before="0" w:beforeAutospacing="0" w:after="0" w:afterAutospacing="0"/>
        <w:jc w:val="both"/>
        <w:textAlignment w:val="baseline"/>
        <w:rPr>
          <w:rFonts w:ascii="Cambria" w:hAnsi="Cambria" w:cs="Segoe UI"/>
          <w:b/>
          <w:bCs/>
          <w:strike/>
          <w:color w:val="000000"/>
          <w:sz w:val="20"/>
          <w:szCs w:val="20"/>
          <w:highlight w:val="red"/>
          <w:lang w:val="es-ES"/>
        </w:rPr>
      </w:pPr>
    </w:p>
    <w:p w14:paraId="1C032AC1" w14:textId="6DE599AF" w:rsidR="000C047C" w:rsidRPr="005913D6" w:rsidRDefault="000C047C" w:rsidP="000C047C">
      <w:pPr>
        <w:tabs>
          <w:tab w:val="left" w:pos="8640"/>
        </w:tabs>
        <w:ind w:left="720" w:right="720"/>
        <w:jc w:val="both"/>
        <w:textAlignment w:val="baseline"/>
        <w:rPr>
          <w:rFonts w:ascii="Cambria" w:eastAsia="Times New Roman" w:hAnsi="Cambria" w:cs="Segoe UI"/>
          <w:color w:val="000000"/>
          <w:sz w:val="20"/>
          <w:szCs w:val="20"/>
        </w:rPr>
      </w:pPr>
      <w:r>
        <w:rPr>
          <w:rFonts w:ascii="Cambria" w:hAnsi="Cambria"/>
          <w:color w:val="000000"/>
          <w:sz w:val="20"/>
        </w:rPr>
        <w:t xml:space="preserve">By signing this Friendly Settlement Agreement, the petitioners </w:t>
      </w:r>
      <w:r w:rsidR="001F468C">
        <w:rPr>
          <w:rFonts w:ascii="Cambria" w:hAnsi="Cambria"/>
          <w:color w:val="000000"/>
          <w:sz w:val="20"/>
        </w:rPr>
        <w:t>hereby</w:t>
      </w:r>
      <w:r w:rsidR="007077C4">
        <w:rPr>
          <w:rFonts w:ascii="Cambria" w:hAnsi="Cambria"/>
          <w:color w:val="000000"/>
          <w:sz w:val="20"/>
        </w:rPr>
        <w:t xml:space="preserve"> attest </w:t>
      </w:r>
      <w:r>
        <w:rPr>
          <w:rFonts w:ascii="Cambria" w:hAnsi="Cambria"/>
          <w:color w:val="000000"/>
          <w:sz w:val="20"/>
        </w:rPr>
        <w:t xml:space="preserve">that the persons listed above are the </w:t>
      </w:r>
      <w:r w:rsidR="007077C4">
        <w:rPr>
          <w:rFonts w:ascii="Cambria" w:hAnsi="Cambria"/>
          <w:color w:val="000000"/>
          <w:sz w:val="20"/>
        </w:rPr>
        <w:t xml:space="preserve">family members </w:t>
      </w:r>
      <w:r>
        <w:rPr>
          <w:rFonts w:ascii="Cambria" w:hAnsi="Cambria"/>
          <w:color w:val="000000"/>
          <w:sz w:val="20"/>
        </w:rPr>
        <w:t>of Denys del Carmen Olivera, Juan José Montes Balasnoa, and Piedad Montes Olivera, with legal standing and interested in pursuing this proceeding</w:t>
      </w:r>
      <w:r w:rsidR="007966EE">
        <w:rPr>
          <w:rFonts w:ascii="Cambria" w:hAnsi="Cambria"/>
          <w:color w:val="000000"/>
          <w:sz w:val="20"/>
        </w:rPr>
        <w:t xml:space="preserve">. </w:t>
      </w:r>
      <w:r w:rsidR="007E7D3A">
        <w:rPr>
          <w:rFonts w:ascii="Cambria" w:hAnsi="Cambria"/>
          <w:color w:val="000000"/>
          <w:sz w:val="20"/>
        </w:rPr>
        <w:t>T</w:t>
      </w:r>
      <w:r>
        <w:rPr>
          <w:rFonts w:ascii="Cambria" w:hAnsi="Cambria"/>
          <w:color w:val="000000"/>
          <w:sz w:val="20"/>
        </w:rPr>
        <w:t>he</w:t>
      </w:r>
      <w:r w:rsidR="005841BA">
        <w:rPr>
          <w:rFonts w:ascii="Cambria" w:hAnsi="Cambria"/>
          <w:color w:val="000000"/>
          <w:sz w:val="20"/>
        </w:rPr>
        <w:t>se individuals</w:t>
      </w:r>
      <w:r>
        <w:rPr>
          <w:rFonts w:ascii="Cambria" w:hAnsi="Cambria"/>
          <w:color w:val="000000"/>
          <w:sz w:val="20"/>
        </w:rPr>
        <w:t>: i) were alive at the time of the facts;</w:t>
      </w:r>
      <w:r w:rsidRPr="005913D6">
        <w:rPr>
          <w:rStyle w:val="FootnoteReference"/>
          <w:rFonts w:ascii="Cambria" w:eastAsia="Times New Roman" w:hAnsi="Cambria" w:cs="Segoe UI"/>
          <w:sz w:val="20"/>
          <w:szCs w:val="20"/>
          <w:lang w:val="es-ES"/>
        </w:rPr>
        <w:footnoteReference w:id="6"/>
      </w:r>
      <w:r>
        <w:rPr>
          <w:rFonts w:ascii="Cambria" w:hAnsi="Cambria"/>
          <w:color w:val="000000"/>
          <w:sz w:val="20"/>
        </w:rPr>
        <w:t xml:space="preserve"> and ii) are alive at </w:t>
      </w:r>
      <w:r w:rsidR="00AE2A4C">
        <w:rPr>
          <w:rFonts w:ascii="Cambria" w:hAnsi="Cambria"/>
          <w:color w:val="000000"/>
          <w:sz w:val="20"/>
        </w:rPr>
        <w:t xml:space="preserve">the time of </w:t>
      </w:r>
      <w:r w:rsidR="00F054C1">
        <w:rPr>
          <w:rFonts w:ascii="Cambria" w:hAnsi="Cambria"/>
          <w:color w:val="000000"/>
          <w:sz w:val="20"/>
        </w:rPr>
        <w:t xml:space="preserve">signature </w:t>
      </w:r>
      <w:r>
        <w:rPr>
          <w:rFonts w:ascii="Cambria" w:hAnsi="Cambria"/>
          <w:color w:val="000000"/>
          <w:sz w:val="20"/>
        </w:rPr>
        <w:t>of this document.</w:t>
      </w:r>
    </w:p>
    <w:p w14:paraId="408BDE98" w14:textId="77777777" w:rsidR="000C047C" w:rsidRPr="000A2C03" w:rsidRDefault="000C047C" w:rsidP="000C047C">
      <w:pPr>
        <w:pStyle w:val="paragraph"/>
        <w:spacing w:before="0" w:beforeAutospacing="0" w:after="0" w:afterAutospacing="0"/>
        <w:jc w:val="both"/>
        <w:textAlignment w:val="baseline"/>
        <w:rPr>
          <w:rFonts w:ascii="Cambria" w:hAnsi="Cambria" w:cs="Segoe UI"/>
          <w:color w:val="000000"/>
          <w:sz w:val="20"/>
          <w:szCs w:val="20"/>
        </w:rPr>
      </w:pPr>
    </w:p>
    <w:p w14:paraId="50E734B3" w14:textId="396024FA" w:rsidR="000C047C" w:rsidRPr="005913D6" w:rsidRDefault="000C047C" w:rsidP="000C047C">
      <w:pPr>
        <w:tabs>
          <w:tab w:val="left" w:pos="8640"/>
        </w:tabs>
        <w:ind w:left="720" w:right="720"/>
        <w:jc w:val="both"/>
        <w:textAlignment w:val="baseline"/>
        <w:rPr>
          <w:rFonts w:ascii="Cambria" w:eastAsia="Times New Roman" w:hAnsi="Cambria" w:cs="Segoe UI"/>
          <w:strike/>
          <w:color w:val="000000"/>
          <w:sz w:val="20"/>
          <w:szCs w:val="20"/>
          <w:highlight w:val="red"/>
        </w:rPr>
      </w:pPr>
      <w:r>
        <w:rPr>
          <w:rFonts w:ascii="Cambria" w:hAnsi="Cambria"/>
          <w:color w:val="000000"/>
          <w:sz w:val="20"/>
        </w:rPr>
        <w:t>Th</w:t>
      </w:r>
      <w:r w:rsidR="005E00E8">
        <w:rPr>
          <w:rFonts w:ascii="Cambria" w:hAnsi="Cambria"/>
          <w:color w:val="000000"/>
          <w:sz w:val="20"/>
        </w:rPr>
        <w:t>erefore</w:t>
      </w:r>
      <w:r>
        <w:rPr>
          <w:rFonts w:ascii="Cambria" w:hAnsi="Cambria"/>
          <w:color w:val="000000"/>
          <w:sz w:val="20"/>
        </w:rPr>
        <w:t xml:space="preserve">, </w:t>
      </w:r>
      <w:r w:rsidR="005E00E8">
        <w:rPr>
          <w:rFonts w:ascii="Cambria" w:hAnsi="Cambria"/>
          <w:color w:val="000000"/>
          <w:sz w:val="20"/>
        </w:rPr>
        <w:t xml:space="preserve">after </w:t>
      </w:r>
      <w:r>
        <w:rPr>
          <w:rFonts w:ascii="Cambria" w:hAnsi="Cambria"/>
          <w:color w:val="000000"/>
          <w:sz w:val="20"/>
        </w:rPr>
        <w:t>the signing of the Friendly Settlement Agreement, the parties agree that no new beneficiaries will be included.</w:t>
      </w:r>
    </w:p>
    <w:p w14:paraId="50DD9BCE" w14:textId="77777777" w:rsidR="000C047C" w:rsidRPr="000A2C03" w:rsidRDefault="000C047C" w:rsidP="000C047C">
      <w:pPr>
        <w:pStyle w:val="paragraph"/>
        <w:spacing w:before="0" w:beforeAutospacing="0" w:after="0" w:afterAutospacing="0"/>
        <w:jc w:val="both"/>
        <w:textAlignment w:val="baseline"/>
        <w:rPr>
          <w:rFonts w:ascii="Cambria" w:hAnsi="Cambria" w:cs="Segoe UI"/>
          <w:strike/>
          <w:color w:val="000000"/>
          <w:sz w:val="20"/>
          <w:szCs w:val="20"/>
        </w:rPr>
      </w:pPr>
    </w:p>
    <w:p w14:paraId="60AF1370" w14:textId="34E838A4" w:rsidR="000C047C" w:rsidRDefault="009A0882" w:rsidP="000C047C">
      <w:pPr>
        <w:ind w:left="709" w:right="713"/>
        <w:rPr>
          <w:rFonts w:ascii="Cambria" w:hAnsi="Cambria"/>
          <w:b/>
          <w:bCs/>
          <w:sz w:val="20"/>
          <w:szCs w:val="20"/>
        </w:rPr>
      </w:pPr>
      <w:r>
        <w:rPr>
          <w:rFonts w:ascii="Cambria" w:hAnsi="Cambria"/>
          <w:b/>
          <w:sz w:val="20"/>
        </w:rPr>
        <w:t xml:space="preserve">PART </w:t>
      </w:r>
      <w:r w:rsidR="000C047C">
        <w:rPr>
          <w:rFonts w:ascii="Cambria" w:hAnsi="Cambria"/>
          <w:b/>
          <w:sz w:val="20"/>
        </w:rPr>
        <w:t>FOUR: ACKNOWLEDGMENT OF RESPONSIBILITY</w:t>
      </w:r>
    </w:p>
    <w:p w14:paraId="37899537"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342E3D8B" w14:textId="38775E4B" w:rsidR="000C047C" w:rsidRPr="000C047C" w:rsidRDefault="000C047C" w:rsidP="000C047C">
      <w:pPr>
        <w:pStyle w:val="Default"/>
        <w:ind w:left="709" w:right="713"/>
        <w:jc w:val="both"/>
        <w:rPr>
          <w:rFonts w:ascii="Cambria" w:hAnsi="Cambria"/>
          <w:sz w:val="20"/>
          <w:szCs w:val="20"/>
          <w:lang w:val="en-US"/>
        </w:rPr>
      </w:pPr>
      <w:r w:rsidRPr="000C047C">
        <w:rPr>
          <w:rFonts w:ascii="Cambria" w:hAnsi="Cambria"/>
          <w:sz w:val="20"/>
          <w:lang w:val="en-US"/>
        </w:rPr>
        <w:t xml:space="preserve">The Colombian State is responsible for the failure to fulfill its duty to guarantee the right to life, contained in Article 4(1) of the American Convention, in </w:t>
      </w:r>
      <w:r w:rsidR="0063713D">
        <w:rPr>
          <w:rFonts w:ascii="Cambria" w:hAnsi="Cambria"/>
          <w:sz w:val="20"/>
          <w:lang w:val="en-US"/>
        </w:rPr>
        <w:t>connection</w:t>
      </w:r>
      <w:r w:rsidR="0063713D" w:rsidRPr="000C047C">
        <w:rPr>
          <w:rFonts w:ascii="Cambria" w:hAnsi="Cambria"/>
          <w:sz w:val="20"/>
          <w:lang w:val="en-US"/>
        </w:rPr>
        <w:t xml:space="preserve"> </w:t>
      </w:r>
      <w:r w:rsidRPr="000C047C">
        <w:rPr>
          <w:rFonts w:ascii="Cambria" w:hAnsi="Cambria"/>
          <w:sz w:val="20"/>
          <w:lang w:val="en-US"/>
        </w:rPr>
        <w:t>to Articles 1(1), 8, and 25 of the same instrument, to the detriment of Denys del Carmen Olivera, Juan José Montes Balasnoa, and Piedad Montes Olivera.</w:t>
      </w:r>
    </w:p>
    <w:p w14:paraId="6CFBB9D0"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101442DF" w14:textId="1BBA0A6B" w:rsidR="000C047C" w:rsidRPr="000C047C" w:rsidRDefault="000C047C" w:rsidP="000C047C">
      <w:pPr>
        <w:pStyle w:val="Default"/>
        <w:ind w:left="709" w:right="713"/>
        <w:jc w:val="both"/>
        <w:rPr>
          <w:rFonts w:ascii="Cambria" w:hAnsi="Cambria"/>
          <w:sz w:val="20"/>
          <w:szCs w:val="20"/>
          <w:lang w:val="en-US"/>
        </w:rPr>
      </w:pPr>
      <w:r w:rsidRPr="000C047C">
        <w:rPr>
          <w:rFonts w:ascii="Cambria" w:hAnsi="Cambria"/>
          <w:sz w:val="20"/>
          <w:lang w:val="en-US"/>
        </w:rPr>
        <w:t>Likewise, the Colombian State is responsible for failure to</w:t>
      </w:r>
      <w:r w:rsidR="0043775D">
        <w:rPr>
          <w:rFonts w:ascii="Cambria" w:hAnsi="Cambria"/>
          <w:sz w:val="20"/>
          <w:lang w:val="en-US"/>
        </w:rPr>
        <w:t xml:space="preserve"> fulfill its duty </w:t>
      </w:r>
      <w:r w:rsidR="00871E99">
        <w:rPr>
          <w:rFonts w:ascii="Cambria" w:hAnsi="Cambria"/>
          <w:sz w:val="20"/>
          <w:lang w:val="en-US"/>
        </w:rPr>
        <w:t>t</w:t>
      </w:r>
      <w:r w:rsidR="0043775D">
        <w:rPr>
          <w:rFonts w:ascii="Cambria" w:hAnsi="Cambria"/>
          <w:sz w:val="20"/>
          <w:lang w:val="en-US"/>
        </w:rPr>
        <w:t>o safeguard,</w:t>
      </w:r>
      <w:r w:rsidRPr="000C047C">
        <w:rPr>
          <w:rFonts w:ascii="Cambria" w:hAnsi="Cambria"/>
          <w:sz w:val="20"/>
          <w:lang w:val="en-US"/>
        </w:rPr>
        <w:t xml:space="preserve"> </w:t>
      </w:r>
      <w:r w:rsidR="00871E99">
        <w:rPr>
          <w:rFonts w:ascii="Cambria" w:hAnsi="Cambria"/>
          <w:sz w:val="20"/>
          <w:lang w:val="en-US"/>
        </w:rPr>
        <w:t xml:space="preserve">with respect to </w:t>
      </w:r>
      <w:r w:rsidRPr="000C047C">
        <w:rPr>
          <w:rFonts w:ascii="Cambria" w:hAnsi="Cambria"/>
          <w:sz w:val="20"/>
          <w:lang w:val="en-US"/>
        </w:rPr>
        <w:t xml:space="preserve">the violation of the right to </w:t>
      </w:r>
      <w:r w:rsidR="007674DF">
        <w:rPr>
          <w:rFonts w:ascii="Cambria" w:hAnsi="Cambria"/>
          <w:sz w:val="20"/>
          <w:lang w:val="en-US"/>
        </w:rPr>
        <w:t>humane treatment</w:t>
      </w:r>
      <w:r w:rsidRPr="000C047C">
        <w:rPr>
          <w:rFonts w:ascii="Cambria" w:hAnsi="Cambria"/>
          <w:sz w:val="20"/>
          <w:lang w:val="en-US"/>
        </w:rPr>
        <w:t xml:space="preserve"> (Article 5(1)), </w:t>
      </w:r>
      <w:r w:rsidR="007674DF">
        <w:rPr>
          <w:rFonts w:ascii="Cambria" w:hAnsi="Cambria"/>
          <w:sz w:val="20"/>
          <w:lang w:val="en-US"/>
        </w:rPr>
        <w:t xml:space="preserve">fair trial </w:t>
      </w:r>
      <w:r w:rsidRPr="000C047C">
        <w:rPr>
          <w:rFonts w:ascii="Cambria" w:hAnsi="Cambria"/>
          <w:sz w:val="20"/>
          <w:lang w:val="en-US"/>
        </w:rPr>
        <w:t xml:space="preserve">(Article 8(1)) and judicial protection (Article 25(1)), established in the American Convention, in </w:t>
      </w:r>
      <w:r w:rsidR="001144D4">
        <w:rPr>
          <w:rFonts w:ascii="Cambria" w:hAnsi="Cambria"/>
          <w:sz w:val="20"/>
          <w:lang w:val="en-US"/>
        </w:rPr>
        <w:t xml:space="preserve">connection </w:t>
      </w:r>
      <w:r w:rsidRPr="000C047C">
        <w:rPr>
          <w:rFonts w:ascii="Cambria" w:hAnsi="Cambria"/>
          <w:sz w:val="20"/>
          <w:lang w:val="en-US"/>
        </w:rPr>
        <w:t>to Article 1(1) of the same instrument, to the detriment of the</w:t>
      </w:r>
      <w:r w:rsidR="00DA5A1C">
        <w:rPr>
          <w:rFonts w:ascii="Cambria" w:hAnsi="Cambria"/>
          <w:sz w:val="20"/>
          <w:lang w:val="en-US"/>
        </w:rPr>
        <w:t xml:space="preserve"> family</w:t>
      </w:r>
      <w:r w:rsidRPr="000C047C">
        <w:rPr>
          <w:rFonts w:ascii="Cambria" w:hAnsi="Cambria"/>
          <w:sz w:val="20"/>
          <w:lang w:val="en-US"/>
        </w:rPr>
        <w:t xml:space="preserve"> of Denys del Carmen Olivera de Montes, Juan José Montes Balasnoa, and Piedad Montes Olivera, listed in the third clause of this agreement.</w:t>
      </w:r>
    </w:p>
    <w:p w14:paraId="74562479"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27C23064" w14:textId="5C07F017" w:rsidR="000C047C" w:rsidRPr="000C047C" w:rsidRDefault="00DA5A1C" w:rsidP="000C047C">
      <w:pPr>
        <w:pStyle w:val="Default"/>
        <w:keepNext/>
        <w:ind w:left="709" w:right="713"/>
        <w:rPr>
          <w:rFonts w:ascii="Cambria" w:hAnsi="Cambria"/>
          <w:sz w:val="20"/>
          <w:szCs w:val="20"/>
          <w:lang w:val="en-US"/>
        </w:rPr>
      </w:pPr>
      <w:r>
        <w:rPr>
          <w:rFonts w:ascii="Cambria" w:hAnsi="Cambria"/>
          <w:b/>
          <w:sz w:val="20"/>
          <w:lang w:val="en-US"/>
        </w:rPr>
        <w:t xml:space="preserve">PART </w:t>
      </w:r>
      <w:r w:rsidR="000C047C" w:rsidRPr="000C047C">
        <w:rPr>
          <w:rFonts w:ascii="Cambria" w:hAnsi="Cambria"/>
          <w:b/>
          <w:sz w:val="20"/>
          <w:lang w:val="en-US"/>
        </w:rPr>
        <w:t>FIVE: MEASURES OF SATISFACTION</w:t>
      </w:r>
    </w:p>
    <w:p w14:paraId="5FC73EAC" w14:textId="77777777" w:rsidR="000C047C" w:rsidRPr="005913D6" w:rsidRDefault="000C047C" w:rsidP="000C047C">
      <w:pPr>
        <w:pStyle w:val="paragraph"/>
        <w:keepNext/>
        <w:spacing w:before="0" w:beforeAutospacing="0" w:after="0" w:afterAutospacing="0"/>
        <w:jc w:val="both"/>
        <w:textAlignment w:val="baseline"/>
        <w:rPr>
          <w:rFonts w:ascii="Cambria" w:hAnsi="Cambria"/>
          <w:sz w:val="20"/>
          <w:szCs w:val="20"/>
        </w:rPr>
      </w:pPr>
    </w:p>
    <w:p w14:paraId="79BC3E39" w14:textId="5089A41A" w:rsidR="000C047C" w:rsidRPr="000C047C" w:rsidRDefault="000C047C" w:rsidP="000C047C">
      <w:pPr>
        <w:pStyle w:val="Default"/>
        <w:keepNext/>
        <w:ind w:left="709" w:right="713"/>
        <w:jc w:val="both"/>
        <w:rPr>
          <w:rFonts w:ascii="Cambria" w:hAnsi="Cambria"/>
          <w:sz w:val="20"/>
          <w:szCs w:val="20"/>
          <w:lang w:val="en-US"/>
        </w:rPr>
      </w:pPr>
      <w:r w:rsidRPr="000C047C">
        <w:rPr>
          <w:rFonts w:ascii="Cambria" w:hAnsi="Cambria"/>
          <w:sz w:val="20"/>
          <w:lang w:val="en-US"/>
        </w:rPr>
        <w:t xml:space="preserve">The Colombian State </w:t>
      </w:r>
      <w:r w:rsidR="00596978">
        <w:rPr>
          <w:rFonts w:ascii="Cambria" w:hAnsi="Cambria"/>
          <w:sz w:val="20"/>
          <w:lang w:val="en-US"/>
        </w:rPr>
        <w:t>agress</w:t>
      </w:r>
      <w:r w:rsidR="00596978" w:rsidRPr="000C047C">
        <w:rPr>
          <w:rFonts w:ascii="Cambria" w:hAnsi="Cambria"/>
          <w:sz w:val="20"/>
          <w:lang w:val="en-US"/>
        </w:rPr>
        <w:t xml:space="preserve"> </w:t>
      </w:r>
      <w:r w:rsidRPr="000C047C">
        <w:rPr>
          <w:rFonts w:ascii="Cambria" w:hAnsi="Cambria"/>
          <w:sz w:val="20"/>
          <w:lang w:val="en-US"/>
        </w:rPr>
        <w:t>to adopt the following</w:t>
      </w:r>
      <w:r w:rsidR="00596978">
        <w:rPr>
          <w:rFonts w:ascii="Cambria" w:hAnsi="Cambria"/>
          <w:sz w:val="20"/>
          <w:lang w:val="en-US"/>
        </w:rPr>
        <w:t xml:space="preserve"> measures of</w:t>
      </w:r>
      <w:r w:rsidRPr="000C047C">
        <w:rPr>
          <w:rFonts w:ascii="Cambria" w:hAnsi="Cambria"/>
          <w:sz w:val="20"/>
          <w:lang w:val="en-US"/>
        </w:rPr>
        <w:t xml:space="preserve"> satisfaction: </w:t>
      </w:r>
    </w:p>
    <w:p w14:paraId="45AC0692" w14:textId="77777777" w:rsidR="000C047C" w:rsidRPr="005913D6" w:rsidRDefault="000C047C" w:rsidP="000C047C">
      <w:pPr>
        <w:pStyle w:val="paragraph"/>
        <w:keepNext/>
        <w:spacing w:before="0" w:beforeAutospacing="0" w:after="0" w:afterAutospacing="0"/>
        <w:jc w:val="both"/>
        <w:textAlignment w:val="baseline"/>
        <w:rPr>
          <w:rFonts w:ascii="Cambria" w:hAnsi="Cambria"/>
          <w:b/>
          <w:bCs/>
          <w:sz w:val="20"/>
          <w:szCs w:val="20"/>
        </w:rPr>
      </w:pPr>
    </w:p>
    <w:p w14:paraId="7384DE3C" w14:textId="4B695A54" w:rsidR="000C047C" w:rsidRPr="000C047C" w:rsidRDefault="002D2455" w:rsidP="000C047C">
      <w:pPr>
        <w:pStyle w:val="Default"/>
        <w:numPr>
          <w:ilvl w:val="0"/>
          <w:numId w:val="60"/>
        </w:numPr>
        <w:ind w:left="709" w:right="713" w:firstLine="0"/>
        <w:jc w:val="both"/>
        <w:rPr>
          <w:rFonts w:ascii="Cambria" w:hAnsi="Cambria"/>
          <w:b/>
          <w:bCs/>
          <w:sz w:val="20"/>
          <w:szCs w:val="20"/>
          <w:lang w:val="en-US"/>
        </w:rPr>
      </w:pPr>
      <w:r>
        <w:rPr>
          <w:rFonts w:ascii="Cambria" w:hAnsi="Cambria"/>
          <w:b/>
          <w:sz w:val="20"/>
          <w:lang w:val="en-US"/>
        </w:rPr>
        <w:t xml:space="preserve">Ceremony for the </w:t>
      </w:r>
      <w:r w:rsidR="000C047C" w:rsidRPr="000C047C">
        <w:rPr>
          <w:rFonts w:ascii="Cambria" w:hAnsi="Cambria"/>
          <w:b/>
          <w:sz w:val="20"/>
          <w:lang w:val="en-US"/>
        </w:rPr>
        <w:t xml:space="preserve">Acknowledgment of Responsibility: </w:t>
      </w:r>
    </w:p>
    <w:p w14:paraId="4B4EA3C6"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22EDC610" w14:textId="41323CCB" w:rsidR="000C047C" w:rsidRPr="000C047C" w:rsidRDefault="000C047C" w:rsidP="000C047C">
      <w:pPr>
        <w:pStyle w:val="Default"/>
        <w:ind w:left="709" w:right="713"/>
        <w:jc w:val="both"/>
        <w:rPr>
          <w:rFonts w:ascii="Cambria" w:hAnsi="Cambria"/>
          <w:sz w:val="20"/>
          <w:szCs w:val="20"/>
          <w:lang w:val="en-US"/>
        </w:rPr>
      </w:pPr>
      <w:r w:rsidRPr="000C047C">
        <w:rPr>
          <w:rFonts w:ascii="Cambria" w:hAnsi="Cambria"/>
          <w:sz w:val="20"/>
          <w:lang w:val="en-US"/>
        </w:rPr>
        <w:t xml:space="preserve">The Colombian State will hold a </w:t>
      </w:r>
      <w:r w:rsidR="00A47853">
        <w:rPr>
          <w:rFonts w:ascii="Cambria" w:hAnsi="Cambria"/>
          <w:sz w:val="20"/>
          <w:lang w:val="en-US"/>
        </w:rPr>
        <w:t xml:space="preserve">Ceremony </w:t>
      </w:r>
      <w:r w:rsidR="002D2455">
        <w:rPr>
          <w:rFonts w:ascii="Cambria" w:hAnsi="Cambria"/>
          <w:sz w:val="20"/>
          <w:lang w:val="en-US"/>
        </w:rPr>
        <w:t xml:space="preserve">for the </w:t>
      </w:r>
      <w:r w:rsidRPr="000C047C">
        <w:rPr>
          <w:rFonts w:ascii="Cambria" w:hAnsi="Cambria"/>
          <w:sz w:val="20"/>
          <w:lang w:val="en-US"/>
        </w:rPr>
        <w:t xml:space="preserve"> Acknowledgement of Responsibility, with the participation of the </w:t>
      </w:r>
      <w:r w:rsidR="00A65C7F">
        <w:rPr>
          <w:rFonts w:ascii="Cambria" w:hAnsi="Cambria"/>
          <w:sz w:val="20"/>
          <w:lang w:val="en-US"/>
        </w:rPr>
        <w:t xml:space="preserve">family </w:t>
      </w:r>
      <w:r w:rsidR="001339CD">
        <w:rPr>
          <w:rFonts w:ascii="Cambria" w:hAnsi="Cambria"/>
          <w:sz w:val="20"/>
          <w:lang w:val="en-US"/>
        </w:rPr>
        <w:t xml:space="preserve">members </w:t>
      </w:r>
      <w:r w:rsidRPr="000C047C">
        <w:rPr>
          <w:rFonts w:ascii="Cambria" w:hAnsi="Cambria"/>
          <w:sz w:val="20"/>
          <w:lang w:val="en-US"/>
        </w:rPr>
        <w:t xml:space="preserve">of Denys del Carmen Olivera, Juan José Montes Balasnoa, and Piedad Montes Olivera and their representative. The </w:t>
      </w:r>
      <w:r w:rsidR="001339CD">
        <w:rPr>
          <w:rFonts w:ascii="Cambria" w:hAnsi="Cambria"/>
          <w:sz w:val="20"/>
          <w:lang w:val="en-US"/>
        </w:rPr>
        <w:t xml:space="preserve">event </w:t>
      </w:r>
      <w:r w:rsidRPr="000C047C">
        <w:rPr>
          <w:rFonts w:ascii="Cambria" w:hAnsi="Cambria"/>
          <w:sz w:val="20"/>
          <w:lang w:val="en-US"/>
        </w:rPr>
        <w:t xml:space="preserve">shall be consistent with the acknowledgment of responsibility set forth in this Agreement. </w:t>
      </w:r>
    </w:p>
    <w:p w14:paraId="16D41334"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60F17EFD" w14:textId="00976C17" w:rsidR="000C047C" w:rsidRPr="000C047C" w:rsidRDefault="000C047C" w:rsidP="000C047C">
      <w:pPr>
        <w:pStyle w:val="Default"/>
        <w:ind w:left="709" w:right="713"/>
        <w:jc w:val="both"/>
        <w:rPr>
          <w:rFonts w:ascii="Cambria" w:hAnsi="Cambria"/>
          <w:sz w:val="20"/>
          <w:szCs w:val="20"/>
          <w:lang w:val="en-US"/>
        </w:rPr>
      </w:pPr>
      <w:r w:rsidRPr="000C047C">
        <w:rPr>
          <w:rFonts w:ascii="Cambria" w:hAnsi="Cambria"/>
          <w:sz w:val="20"/>
          <w:lang w:val="en-US"/>
        </w:rPr>
        <w:t xml:space="preserve">The National Agency for the Legal Defense of the State shall be responsible for </w:t>
      </w:r>
      <w:r w:rsidR="002D182A">
        <w:rPr>
          <w:rFonts w:ascii="Cambria" w:hAnsi="Cambria"/>
          <w:sz w:val="20"/>
          <w:lang w:val="en-US"/>
        </w:rPr>
        <w:t xml:space="preserve">perfoming </w:t>
      </w:r>
      <w:r w:rsidR="00D91DB7">
        <w:rPr>
          <w:rFonts w:ascii="Cambria" w:hAnsi="Cambria"/>
          <w:sz w:val="20"/>
          <w:lang w:val="en-US"/>
        </w:rPr>
        <w:t xml:space="preserve">this </w:t>
      </w:r>
      <w:r w:rsidR="003032DE">
        <w:rPr>
          <w:rFonts w:ascii="Cambria" w:hAnsi="Cambria"/>
          <w:sz w:val="20"/>
          <w:lang w:val="en-US"/>
        </w:rPr>
        <w:t>measure</w:t>
      </w:r>
      <w:r w:rsidRPr="000C047C">
        <w:rPr>
          <w:rFonts w:ascii="Cambria" w:hAnsi="Cambria"/>
          <w:sz w:val="20"/>
          <w:lang w:val="en-US"/>
        </w:rPr>
        <w:t xml:space="preserve">. </w:t>
      </w:r>
    </w:p>
    <w:p w14:paraId="2BA1AC98" w14:textId="77777777" w:rsidR="000C047C" w:rsidRDefault="000C047C" w:rsidP="000C047C">
      <w:pPr>
        <w:pStyle w:val="paragraph"/>
        <w:spacing w:before="0" w:beforeAutospacing="0" w:after="0" w:afterAutospacing="0"/>
        <w:jc w:val="both"/>
        <w:textAlignment w:val="baseline"/>
        <w:rPr>
          <w:rFonts w:ascii="Cambria" w:hAnsi="Cambria"/>
          <w:sz w:val="20"/>
          <w:szCs w:val="20"/>
        </w:rPr>
      </w:pPr>
    </w:p>
    <w:p w14:paraId="5884A275" w14:textId="77777777" w:rsidR="00256132" w:rsidRPr="005913D6" w:rsidRDefault="00256132" w:rsidP="000C047C">
      <w:pPr>
        <w:pStyle w:val="paragraph"/>
        <w:spacing w:before="0" w:beforeAutospacing="0" w:after="0" w:afterAutospacing="0"/>
        <w:jc w:val="both"/>
        <w:textAlignment w:val="baseline"/>
        <w:rPr>
          <w:rFonts w:ascii="Cambria" w:hAnsi="Cambria"/>
          <w:sz w:val="20"/>
          <w:szCs w:val="20"/>
        </w:rPr>
      </w:pPr>
    </w:p>
    <w:p w14:paraId="74670048" w14:textId="77777777" w:rsidR="000C047C" w:rsidRPr="000C047C" w:rsidRDefault="000C047C" w:rsidP="000C047C">
      <w:pPr>
        <w:pStyle w:val="Default"/>
        <w:numPr>
          <w:ilvl w:val="0"/>
          <w:numId w:val="60"/>
        </w:numPr>
        <w:ind w:left="709" w:right="713" w:firstLine="0"/>
        <w:jc w:val="both"/>
        <w:rPr>
          <w:rFonts w:ascii="Cambria" w:hAnsi="Cambria"/>
          <w:b/>
          <w:bCs/>
          <w:sz w:val="20"/>
          <w:szCs w:val="20"/>
          <w:lang w:val="en-US"/>
        </w:rPr>
      </w:pPr>
      <w:r w:rsidRPr="000C047C">
        <w:rPr>
          <w:rFonts w:ascii="Cambria" w:hAnsi="Cambria"/>
          <w:b/>
          <w:sz w:val="20"/>
          <w:lang w:val="en-US"/>
        </w:rPr>
        <w:lastRenderedPageBreak/>
        <w:t>PRESERVATION, CUSTODY, AND CONSERVATION OF THE FRIENDLY SETTLEMENT AGREEMENT</w:t>
      </w:r>
    </w:p>
    <w:p w14:paraId="2E82CBC9"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6AD09AC9" w14:textId="13062E62" w:rsidR="000C047C" w:rsidRPr="000C047C" w:rsidRDefault="000C047C" w:rsidP="000C047C">
      <w:pPr>
        <w:pStyle w:val="Default"/>
        <w:ind w:left="709" w:right="713"/>
        <w:jc w:val="both"/>
        <w:rPr>
          <w:rFonts w:ascii="Cambria" w:hAnsi="Cambria"/>
          <w:sz w:val="20"/>
          <w:szCs w:val="20"/>
          <w:lang w:val="en-US"/>
        </w:rPr>
      </w:pPr>
      <w:r w:rsidRPr="000C047C">
        <w:rPr>
          <w:rFonts w:ascii="Cambria" w:hAnsi="Cambria"/>
          <w:sz w:val="20"/>
          <w:lang w:val="en-US"/>
        </w:rPr>
        <w:t xml:space="preserve">The Human Rights Archive Directorate of the National Center of Historical </w:t>
      </w:r>
      <w:r w:rsidR="00282029">
        <w:rPr>
          <w:rFonts w:ascii="Cambria" w:hAnsi="Cambria"/>
          <w:sz w:val="20"/>
          <w:lang w:val="en-US"/>
        </w:rPr>
        <w:t xml:space="preserve">Remembrance </w:t>
      </w:r>
      <w:r w:rsidRPr="000C047C">
        <w:rPr>
          <w:rFonts w:ascii="Cambria" w:hAnsi="Cambria"/>
          <w:sz w:val="20"/>
          <w:lang w:val="en-US"/>
        </w:rPr>
        <w:t>commits to</w:t>
      </w:r>
      <w:r w:rsidR="001C35A9">
        <w:rPr>
          <w:rFonts w:ascii="Cambria" w:hAnsi="Cambria"/>
          <w:sz w:val="20"/>
          <w:lang w:val="en-US"/>
        </w:rPr>
        <w:t xml:space="preserve"> the following</w:t>
      </w:r>
      <w:r w:rsidR="004B27F0">
        <w:rPr>
          <w:rFonts w:ascii="Cambria" w:hAnsi="Cambria"/>
          <w:sz w:val="20"/>
          <w:lang w:val="en-US"/>
        </w:rPr>
        <w:t>:</w:t>
      </w:r>
      <w:r w:rsidRPr="005913D6">
        <w:rPr>
          <w:rStyle w:val="FootnoteReference"/>
          <w:rFonts w:ascii="Cambria" w:eastAsia="Trebuchet MS" w:hAnsi="Cambria"/>
          <w:sz w:val="20"/>
          <w:szCs w:val="20"/>
        </w:rPr>
        <w:footnoteReference w:id="7"/>
      </w:r>
    </w:p>
    <w:p w14:paraId="5FCEF6C5"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21DDD72F" w14:textId="28145D7D" w:rsidR="000C047C" w:rsidRPr="000C047C" w:rsidRDefault="000C047C" w:rsidP="000C047C">
      <w:pPr>
        <w:pStyle w:val="Default"/>
        <w:numPr>
          <w:ilvl w:val="0"/>
          <w:numId w:val="61"/>
        </w:numPr>
        <w:ind w:left="709" w:right="713" w:firstLine="0"/>
        <w:jc w:val="both"/>
        <w:rPr>
          <w:rFonts w:ascii="Cambria" w:hAnsi="Cambria"/>
          <w:sz w:val="20"/>
          <w:szCs w:val="20"/>
          <w:lang w:val="en-US"/>
        </w:rPr>
      </w:pPr>
      <w:r w:rsidRPr="000C047C">
        <w:rPr>
          <w:rFonts w:ascii="Cambria" w:hAnsi="Cambria"/>
          <w:sz w:val="20"/>
          <w:lang w:val="en-US"/>
        </w:rPr>
        <w:t xml:space="preserve">Keep a copy of the </w:t>
      </w:r>
      <w:r w:rsidR="00A5715C">
        <w:rPr>
          <w:rFonts w:ascii="Cambria" w:hAnsi="Cambria"/>
          <w:sz w:val="20"/>
          <w:lang w:val="en-US"/>
        </w:rPr>
        <w:t xml:space="preserve">case </w:t>
      </w:r>
      <w:r w:rsidRPr="000C047C">
        <w:rPr>
          <w:rFonts w:ascii="Cambria" w:hAnsi="Cambria"/>
          <w:sz w:val="20"/>
          <w:lang w:val="en-US"/>
        </w:rPr>
        <w:t xml:space="preserve">file corresponding to the Friendly Settlement Agreement with reference to Case C.13.892 Denys del Carmen Olivera de Montes and </w:t>
      </w:r>
      <w:r w:rsidR="00CC523A">
        <w:rPr>
          <w:rFonts w:ascii="Cambria" w:hAnsi="Cambria"/>
          <w:sz w:val="20"/>
          <w:lang w:val="en-US"/>
        </w:rPr>
        <w:t>family</w:t>
      </w:r>
      <w:r w:rsidRPr="000C047C">
        <w:rPr>
          <w:rFonts w:ascii="Cambria" w:hAnsi="Cambria"/>
          <w:sz w:val="20"/>
          <w:lang w:val="en-US"/>
        </w:rPr>
        <w:t>, sent by the National Agency for the Legal Defense of the State with the following delivery conditions:</w:t>
      </w:r>
    </w:p>
    <w:p w14:paraId="5694E3F7"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28FA55EC" w14:textId="4C49A6C2" w:rsidR="000C047C" w:rsidRPr="000C047C" w:rsidRDefault="000C047C" w:rsidP="000C047C">
      <w:pPr>
        <w:pStyle w:val="Default"/>
        <w:numPr>
          <w:ilvl w:val="0"/>
          <w:numId w:val="62"/>
        </w:numPr>
        <w:ind w:left="709" w:right="713" w:firstLine="0"/>
        <w:jc w:val="both"/>
        <w:rPr>
          <w:rFonts w:ascii="Cambria" w:hAnsi="Cambria"/>
          <w:sz w:val="20"/>
          <w:szCs w:val="20"/>
          <w:lang w:val="en-US"/>
        </w:rPr>
      </w:pPr>
      <w:r w:rsidRPr="000C047C">
        <w:rPr>
          <w:rFonts w:ascii="Cambria" w:hAnsi="Cambria"/>
          <w:sz w:val="20"/>
          <w:lang w:val="en-US"/>
        </w:rPr>
        <w:t xml:space="preserve">The </w:t>
      </w:r>
      <w:r w:rsidR="00A0679E">
        <w:rPr>
          <w:rFonts w:ascii="Cambria" w:hAnsi="Cambria"/>
          <w:sz w:val="20"/>
          <w:lang w:val="en-US"/>
        </w:rPr>
        <w:t xml:space="preserve">case </w:t>
      </w:r>
      <w:r w:rsidRPr="000C047C">
        <w:rPr>
          <w:rFonts w:ascii="Cambria" w:hAnsi="Cambria"/>
          <w:sz w:val="20"/>
          <w:lang w:val="en-US"/>
        </w:rPr>
        <w:t>file is a</w:t>
      </w:r>
      <w:r w:rsidR="00A0679E">
        <w:rPr>
          <w:rFonts w:ascii="Cambria" w:hAnsi="Cambria"/>
          <w:sz w:val="20"/>
          <w:lang w:val="en-US"/>
        </w:rPr>
        <w:t xml:space="preserve">n integral </w:t>
      </w:r>
      <w:r w:rsidRPr="000C047C">
        <w:rPr>
          <w:rFonts w:ascii="Cambria" w:hAnsi="Cambria"/>
          <w:sz w:val="20"/>
          <w:lang w:val="en-US"/>
        </w:rPr>
        <w:t xml:space="preserve">digital copy of the Friendly Settlement Agreement </w:t>
      </w:r>
      <w:r w:rsidR="00A67692">
        <w:rPr>
          <w:rFonts w:ascii="Cambria" w:hAnsi="Cambria"/>
          <w:sz w:val="20"/>
          <w:lang w:val="en-US"/>
        </w:rPr>
        <w:t xml:space="preserve">with reference </w:t>
      </w:r>
      <w:r w:rsidRPr="000C047C">
        <w:rPr>
          <w:rFonts w:ascii="Cambria" w:hAnsi="Cambria"/>
          <w:sz w:val="20"/>
          <w:lang w:val="en-US"/>
        </w:rPr>
        <w:t xml:space="preserve">to Case C-13.892 Denys del Carmen Olivera de Montes and </w:t>
      </w:r>
      <w:r w:rsidR="00A67692">
        <w:rPr>
          <w:rFonts w:ascii="Cambria" w:hAnsi="Cambria"/>
          <w:sz w:val="20"/>
          <w:lang w:val="en-US"/>
        </w:rPr>
        <w:t>family</w:t>
      </w:r>
      <w:r w:rsidRPr="000C047C">
        <w:rPr>
          <w:rFonts w:ascii="Cambria" w:hAnsi="Cambria"/>
          <w:sz w:val="20"/>
          <w:lang w:val="en-US"/>
        </w:rPr>
        <w:t>.</w:t>
      </w:r>
    </w:p>
    <w:p w14:paraId="26BEF463"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06B22F8B" w14:textId="5733E668" w:rsidR="000C047C" w:rsidRPr="000C047C" w:rsidRDefault="000C047C" w:rsidP="000C047C">
      <w:pPr>
        <w:pStyle w:val="Default"/>
        <w:numPr>
          <w:ilvl w:val="0"/>
          <w:numId w:val="62"/>
        </w:numPr>
        <w:ind w:left="709" w:right="713" w:firstLine="0"/>
        <w:jc w:val="both"/>
        <w:rPr>
          <w:rFonts w:ascii="Cambria" w:hAnsi="Cambria"/>
          <w:sz w:val="20"/>
          <w:szCs w:val="20"/>
          <w:lang w:val="en-US"/>
        </w:rPr>
      </w:pPr>
      <w:r w:rsidRPr="000C047C">
        <w:rPr>
          <w:rFonts w:ascii="Cambria" w:hAnsi="Cambria"/>
          <w:sz w:val="20"/>
          <w:lang w:val="en-US"/>
        </w:rPr>
        <w:t xml:space="preserve">The file </w:t>
      </w:r>
      <w:r w:rsidR="003F1A64" w:rsidRPr="000C047C">
        <w:rPr>
          <w:rFonts w:ascii="Cambria" w:hAnsi="Cambria"/>
          <w:sz w:val="20"/>
          <w:lang w:val="en-US"/>
        </w:rPr>
        <w:t>sh</w:t>
      </w:r>
      <w:r w:rsidR="003F1A64">
        <w:rPr>
          <w:rFonts w:ascii="Cambria" w:hAnsi="Cambria"/>
          <w:sz w:val="20"/>
          <w:lang w:val="en-US"/>
        </w:rPr>
        <w:t>all</w:t>
      </w:r>
      <w:r w:rsidR="003F1A64" w:rsidRPr="000C047C">
        <w:rPr>
          <w:rFonts w:ascii="Cambria" w:hAnsi="Cambria"/>
          <w:sz w:val="20"/>
          <w:lang w:val="en-US"/>
        </w:rPr>
        <w:t xml:space="preserve"> </w:t>
      </w:r>
      <w:r w:rsidRPr="000C047C">
        <w:rPr>
          <w:rFonts w:ascii="Cambria" w:hAnsi="Cambria"/>
          <w:sz w:val="20"/>
          <w:lang w:val="en-US"/>
        </w:rPr>
        <w:t xml:space="preserve">contain clear information </w:t>
      </w:r>
      <w:r w:rsidR="00B53D16">
        <w:rPr>
          <w:rFonts w:ascii="Cambria" w:hAnsi="Cambria"/>
          <w:sz w:val="20"/>
          <w:lang w:val="en-US"/>
        </w:rPr>
        <w:t xml:space="preserve">as to </w:t>
      </w:r>
      <w:r w:rsidRPr="000C047C">
        <w:rPr>
          <w:rFonts w:ascii="Cambria" w:hAnsi="Cambria"/>
          <w:sz w:val="20"/>
          <w:lang w:val="en-US"/>
        </w:rPr>
        <w:t xml:space="preserve">how it is constituted, i.e., </w:t>
      </w:r>
      <w:r w:rsidR="005F7605">
        <w:rPr>
          <w:rFonts w:ascii="Cambria" w:hAnsi="Cambria"/>
          <w:sz w:val="20"/>
          <w:lang w:val="en-US"/>
        </w:rPr>
        <w:t>size</w:t>
      </w:r>
      <w:r w:rsidRPr="000C047C">
        <w:rPr>
          <w:rFonts w:ascii="Cambria" w:hAnsi="Cambria"/>
          <w:sz w:val="20"/>
          <w:lang w:val="en-US"/>
        </w:rPr>
        <w:t xml:space="preserve">, number of pages, megabytes or gigabytes, as </w:t>
      </w:r>
      <w:r w:rsidR="005F7605">
        <w:rPr>
          <w:rFonts w:ascii="Cambria" w:hAnsi="Cambria"/>
          <w:sz w:val="20"/>
          <w:lang w:val="en-US"/>
        </w:rPr>
        <w:t>applicable</w:t>
      </w:r>
      <w:r w:rsidRPr="000C047C">
        <w:rPr>
          <w:rFonts w:ascii="Cambria" w:hAnsi="Cambria"/>
          <w:sz w:val="20"/>
          <w:lang w:val="en-US"/>
        </w:rPr>
        <w:t xml:space="preserve">. </w:t>
      </w:r>
    </w:p>
    <w:p w14:paraId="7CD69619"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4F493C89" w14:textId="125AAD97" w:rsidR="000C047C" w:rsidRPr="000C047C" w:rsidRDefault="000C047C" w:rsidP="000C047C">
      <w:pPr>
        <w:pStyle w:val="Default"/>
        <w:numPr>
          <w:ilvl w:val="0"/>
          <w:numId w:val="62"/>
        </w:numPr>
        <w:ind w:left="709" w:right="713" w:firstLine="0"/>
        <w:jc w:val="both"/>
        <w:rPr>
          <w:rFonts w:ascii="Cambria" w:hAnsi="Cambria"/>
          <w:sz w:val="20"/>
          <w:szCs w:val="20"/>
          <w:lang w:val="en-US"/>
        </w:rPr>
      </w:pPr>
      <w:r w:rsidRPr="000C047C">
        <w:rPr>
          <w:rFonts w:ascii="Cambria" w:hAnsi="Cambria"/>
          <w:sz w:val="20"/>
          <w:lang w:val="en-US"/>
        </w:rPr>
        <w:t xml:space="preserve">The submitting entity verifies that the information </w:t>
      </w:r>
      <w:r w:rsidR="00B1487C">
        <w:rPr>
          <w:rFonts w:ascii="Cambria" w:hAnsi="Cambria"/>
          <w:sz w:val="20"/>
          <w:lang w:val="en-US"/>
        </w:rPr>
        <w:t xml:space="preserve">provided </w:t>
      </w:r>
      <w:r w:rsidRPr="000C047C">
        <w:rPr>
          <w:rFonts w:ascii="Cambria" w:hAnsi="Cambria"/>
          <w:sz w:val="20"/>
          <w:lang w:val="en-US"/>
        </w:rPr>
        <w:t xml:space="preserve">is open to the public. </w:t>
      </w:r>
    </w:p>
    <w:p w14:paraId="47A42C8F"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004E4D29" w14:textId="1821E771" w:rsidR="000C047C" w:rsidRPr="000C047C" w:rsidRDefault="000C047C" w:rsidP="000C047C">
      <w:pPr>
        <w:pStyle w:val="Default"/>
        <w:numPr>
          <w:ilvl w:val="0"/>
          <w:numId w:val="62"/>
        </w:numPr>
        <w:ind w:left="709" w:right="713" w:firstLine="0"/>
        <w:jc w:val="both"/>
        <w:rPr>
          <w:rFonts w:ascii="Cambria" w:hAnsi="Cambria"/>
          <w:sz w:val="20"/>
          <w:szCs w:val="20"/>
          <w:lang w:val="en-US"/>
        </w:rPr>
      </w:pPr>
      <w:r w:rsidRPr="000C047C">
        <w:rPr>
          <w:rFonts w:ascii="Cambria" w:hAnsi="Cambria"/>
          <w:sz w:val="20"/>
          <w:lang w:val="en-US"/>
        </w:rPr>
        <w:t xml:space="preserve">The </w:t>
      </w:r>
      <w:r w:rsidR="00536689">
        <w:rPr>
          <w:rFonts w:ascii="Cambria" w:hAnsi="Cambria"/>
          <w:sz w:val="20"/>
          <w:lang w:val="en-US"/>
        </w:rPr>
        <w:t xml:space="preserve">submitting </w:t>
      </w:r>
      <w:r w:rsidRPr="000C047C">
        <w:rPr>
          <w:rFonts w:ascii="Cambria" w:hAnsi="Cambria"/>
          <w:sz w:val="20"/>
          <w:lang w:val="en-US"/>
        </w:rPr>
        <w:t xml:space="preserve">entity </w:t>
      </w:r>
      <w:r w:rsidR="00536689">
        <w:rPr>
          <w:rFonts w:ascii="Cambria" w:hAnsi="Cambria"/>
          <w:sz w:val="20"/>
          <w:lang w:val="en-US"/>
        </w:rPr>
        <w:t xml:space="preserve">states </w:t>
      </w:r>
      <w:r w:rsidRPr="000C047C">
        <w:rPr>
          <w:rFonts w:ascii="Cambria" w:hAnsi="Cambria"/>
          <w:sz w:val="20"/>
          <w:lang w:val="en-US"/>
        </w:rPr>
        <w:t xml:space="preserve">that the personal data contained in the information provided was collected in accordance with the Colombian personal data privacy requirements of Law 1581 of 2012. Likewise, the Human Rights Archive Directorate of the National </w:t>
      </w:r>
      <w:r w:rsidR="00282029">
        <w:rPr>
          <w:rFonts w:ascii="Cambria" w:hAnsi="Cambria"/>
          <w:sz w:val="20"/>
          <w:lang w:val="en-US"/>
        </w:rPr>
        <w:t xml:space="preserve">Center of </w:t>
      </w:r>
      <w:r w:rsidRPr="000C047C">
        <w:rPr>
          <w:rFonts w:ascii="Cambria" w:hAnsi="Cambria"/>
          <w:sz w:val="20"/>
          <w:lang w:val="en-US"/>
        </w:rPr>
        <w:t xml:space="preserve">Historical </w:t>
      </w:r>
      <w:r w:rsidR="00282029">
        <w:rPr>
          <w:rFonts w:ascii="Cambria" w:hAnsi="Cambria"/>
          <w:sz w:val="20"/>
          <w:lang w:val="en-US"/>
        </w:rPr>
        <w:t>Rememb</w:t>
      </w:r>
      <w:r w:rsidR="004B627C">
        <w:rPr>
          <w:rFonts w:ascii="Cambria" w:hAnsi="Cambria"/>
          <w:sz w:val="20"/>
          <w:lang w:val="en-US"/>
        </w:rPr>
        <w:t xml:space="preserve">rance </w:t>
      </w:r>
      <w:r w:rsidRPr="000C047C">
        <w:rPr>
          <w:rFonts w:ascii="Cambria" w:hAnsi="Cambria"/>
          <w:sz w:val="20"/>
          <w:lang w:val="en-US"/>
        </w:rPr>
        <w:t xml:space="preserve">is </w:t>
      </w:r>
      <w:r w:rsidR="00E406EE">
        <w:rPr>
          <w:rFonts w:ascii="Cambria" w:hAnsi="Cambria"/>
          <w:sz w:val="20"/>
          <w:lang w:val="en-US"/>
        </w:rPr>
        <w:t xml:space="preserve">required </w:t>
      </w:r>
      <w:r w:rsidRPr="000C047C">
        <w:rPr>
          <w:rFonts w:ascii="Cambria" w:hAnsi="Cambria"/>
          <w:sz w:val="20"/>
          <w:lang w:val="en-US"/>
        </w:rPr>
        <w:t xml:space="preserve">to comply with Law 1581 of 2012 on the protection of Personal Data (Habeas Data) in Colombia, regulated by Decree 1377 of 2013. </w:t>
      </w:r>
    </w:p>
    <w:p w14:paraId="56F2BDE3"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396B9CCF" w14:textId="630C7411" w:rsidR="000C047C" w:rsidRPr="000C047C" w:rsidRDefault="00E5481B" w:rsidP="000C047C">
      <w:pPr>
        <w:pStyle w:val="Default"/>
        <w:numPr>
          <w:ilvl w:val="0"/>
          <w:numId w:val="62"/>
        </w:numPr>
        <w:ind w:left="709" w:right="713" w:firstLine="0"/>
        <w:jc w:val="both"/>
        <w:rPr>
          <w:rFonts w:ascii="Cambria" w:hAnsi="Cambria"/>
          <w:sz w:val="20"/>
          <w:szCs w:val="20"/>
          <w:lang w:val="en-US"/>
        </w:rPr>
      </w:pPr>
      <w:r>
        <w:rPr>
          <w:rFonts w:ascii="Cambria" w:hAnsi="Cambria"/>
          <w:sz w:val="20"/>
          <w:lang w:val="en-US"/>
        </w:rPr>
        <w:t xml:space="preserve">In the event </w:t>
      </w:r>
      <w:r w:rsidR="00A66EE0">
        <w:rPr>
          <w:rFonts w:ascii="Cambria" w:hAnsi="Cambria"/>
          <w:sz w:val="20"/>
          <w:lang w:val="en-US"/>
        </w:rPr>
        <w:t xml:space="preserve">of containing </w:t>
      </w:r>
      <w:r w:rsidR="000C047C" w:rsidRPr="000C047C">
        <w:rPr>
          <w:rFonts w:ascii="Cambria" w:hAnsi="Cambria"/>
          <w:sz w:val="20"/>
          <w:lang w:val="en-US"/>
        </w:rPr>
        <w:t xml:space="preserve">confidential data protected by law, together with the information delivered, the sender and holder of the information </w:t>
      </w:r>
      <w:r w:rsidR="00D70538">
        <w:rPr>
          <w:rFonts w:ascii="Cambria" w:hAnsi="Cambria"/>
          <w:sz w:val="20"/>
          <w:lang w:val="en-US"/>
        </w:rPr>
        <w:t xml:space="preserve">shall </w:t>
      </w:r>
      <w:r w:rsidR="000C047C" w:rsidRPr="000C047C">
        <w:rPr>
          <w:rFonts w:ascii="Cambria" w:hAnsi="Cambria"/>
          <w:sz w:val="20"/>
          <w:lang w:val="en-US"/>
        </w:rPr>
        <w:t xml:space="preserve">deliver the report granting confidentiality and expressly stating the legal basis for </w:t>
      </w:r>
      <w:r w:rsidR="007819E8">
        <w:rPr>
          <w:rFonts w:ascii="Cambria" w:hAnsi="Cambria"/>
          <w:sz w:val="20"/>
          <w:lang w:val="en-US"/>
        </w:rPr>
        <w:t>classifying the information as such</w:t>
      </w:r>
      <w:r w:rsidR="007A0E5B">
        <w:rPr>
          <w:rFonts w:ascii="Cambria" w:hAnsi="Cambria"/>
          <w:sz w:val="20"/>
          <w:lang w:val="en-US"/>
        </w:rPr>
        <w:t xml:space="preserve">, as well as the </w:t>
      </w:r>
      <w:r w:rsidR="002F0B0F">
        <w:rPr>
          <w:rFonts w:ascii="Cambria" w:hAnsi="Cambria"/>
          <w:sz w:val="20"/>
          <w:lang w:val="en-US"/>
        </w:rPr>
        <w:t>number of years the information is reserved</w:t>
      </w:r>
      <w:r w:rsidR="000C047C" w:rsidRPr="000C047C">
        <w:rPr>
          <w:rFonts w:ascii="Cambria" w:hAnsi="Cambria"/>
          <w:sz w:val="20"/>
          <w:lang w:val="en-US"/>
        </w:rPr>
        <w:t xml:space="preserve">. </w:t>
      </w:r>
    </w:p>
    <w:p w14:paraId="706B9646"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6A70FCE7" w14:textId="3BBE86EB" w:rsidR="000C047C" w:rsidRPr="000C047C" w:rsidRDefault="000C047C" w:rsidP="000C047C">
      <w:pPr>
        <w:pStyle w:val="Default"/>
        <w:numPr>
          <w:ilvl w:val="0"/>
          <w:numId w:val="62"/>
        </w:numPr>
        <w:ind w:left="709" w:right="713" w:firstLine="0"/>
        <w:jc w:val="both"/>
        <w:rPr>
          <w:rFonts w:ascii="Cambria" w:hAnsi="Cambria"/>
          <w:sz w:val="20"/>
          <w:szCs w:val="20"/>
          <w:lang w:val="en-US"/>
        </w:rPr>
      </w:pPr>
      <w:r w:rsidRPr="000C047C">
        <w:rPr>
          <w:rFonts w:ascii="Cambria" w:hAnsi="Cambria"/>
          <w:sz w:val="20"/>
          <w:lang w:val="en-US"/>
        </w:rPr>
        <w:t xml:space="preserve">A record of the </w:t>
      </w:r>
      <w:r w:rsidR="008E3493">
        <w:rPr>
          <w:rFonts w:ascii="Cambria" w:hAnsi="Cambria"/>
          <w:sz w:val="20"/>
          <w:lang w:val="en-US"/>
        </w:rPr>
        <w:t xml:space="preserve">data </w:t>
      </w:r>
      <w:r w:rsidRPr="000C047C">
        <w:rPr>
          <w:rFonts w:ascii="Cambria" w:hAnsi="Cambria"/>
          <w:sz w:val="20"/>
          <w:lang w:val="en-US"/>
        </w:rPr>
        <w:t xml:space="preserve">collection must be </w:t>
      </w:r>
      <w:r w:rsidR="008E3493">
        <w:rPr>
          <w:rFonts w:ascii="Cambria" w:hAnsi="Cambria"/>
          <w:sz w:val="20"/>
          <w:lang w:val="en-US"/>
        </w:rPr>
        <w:t xml:space="preserve">prepared </w:t>
      </w:r>
      <w:r w:rsidRPr="000C047C">
        <w:rPr>
          <w:rFonts w:ascii="Cambria" w:hAnsi="Cambria"/>
          <w:sz w:val="20"/>
          <w:lang w:val="en-US"/>
        </w:rPr>
        <w:t xml:space="preserve">that certifies the entry of the </w:t>
      </w:r>
      <w:r w:rsidR="002D3476">
        <w:rPr>
          <w:rFonts w:ascii="Cambria" w:hAnsi="Cambria"/>
          <w:sz w:val="20"/>
          <w:lang w:val="en-US"/>
        </w:rPr>
        <w:t xml:space="preserve">case </w:t>
      </w:r>
      <w:r w:rsidRPr="000C047C">
        <w:rPr>
          <w:rFonts w:ascii="Cambria" w:hAnsi="Cambria"/>
          <w:sz w:val="20"/>
          <w:lang w:val="en-US"/>
        </w:rPr>
        <w:t xml:space="preserve">file to the Human Rights Archive of the CNMH.  </w:t>
      </w:r>
    </w:p>
    <w:p w14:paraId="0BA32554"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0CDBC137" w14:textId="174AB8EB" w:rsidR="000C047C" w:rsidRPr="000C047C" w:rsidRDefault="000C047C" w:rsidP="000C047C">
      <w:pPr>
        <w:pStyle w:val="Default"/>
        <w:numPr>
          <w:ilvl w:val="0"/>
          <w:numId w:val="61"/>
        </w:numPr>
        <w:ind w:left="709" w:right="713" w:firstLine="0"/>
        <w:jc w:val="both"/>
        <w:rPr>
          <w:rFonts w:ascii="Cambria" w:hAnsi="Cambria"/>
          <w:sz w:val="20"/>
          <w:szCs w:val="20"/>
          <w:lang w:val="en-US"/>
        </w:rPr>
      </w:pPr>
      <w:r w:rsidRPr="000C047C">
        <w:rPr>
          <w:rFonts w:ascii="Cambria" w:hAnsi="Cambria"/>
          <w:sz w:val="20"/>
          <w:lang w:val="en-US"/>
        </w:rPr>
        <w:t xml:space="preserve">The file must be preserved, guarded, and kept in digital media within an information system corresponding to the virtual platform of the Human Rights Archive to guarantee its access and disclosure for </w:t>
      </w:r>
      <w:r w:rsidR="00AE2723">
        <w:rPr>
          <w:rFonts w:ascii="Cambria" w:hAnsi="Cambria"/>
          <w:sz w:val="20"/>
          <w:lang w:val="en-US"/>
        </w:rPr>
        <w:t xml:space="preserve">the general public </w:t>
      </w:r>
      <w:r w:rsidRPr="000C047C">
        <w:rPr>
          <w:rFonts w:ascii="Cambria" w:hAnsi="Cambria"/>
          <w:sz w:val="20"/>
          <w:lang w:val="en-US"/>
        </w:rPr>
        <w:t xml:space="preserve">and victims in particular, in order to contribute to guaranteeing the rights of truth, justice, reparation and non-repetition. </w:t>
      </w:r>
    </w:p>
    <w:p w14:paraId="65900936"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61BE393A" w14:textId="2305A558" w:rsidR="000C047C" w:rsidRPr="000C047C" w:rsidRDefault="00AE2723" w:rsidP="000C047C">
      <w:pPr>
        <w:pStyle w:val="Default"/>
        <w:numPr>
          <w:ilvl w:val="1"/>
          <w:numId w:val="61"/>
        </w:numPr>
        <w:ind w:left="709" w:right="713" w:firstLine="0"/>
        <w:jc w:val="both"/>
        <w:rPr>
          <w:rFonts w:ascii="Cambria" w:hAnsi="Cambria"/>
          <w:sz w:val="20"/>
          <w:szCs w:val="20"/>
          <w:lang w:val="en-US"/>
        </w:rPr>
      </w:pPr>
      <w:r>
        <w:rPr>
          <w:rFonts w:ascii="Cambria" w:hAnsi="Cambria"/>
          <w:sz w:val="20"/>
          <w:lang w:val="en-US"/>
        </w:rPr>
        <w:t>The i</w:t>
      </w:r>
      <w:r w:rsidR="000C047C" w:rsidRPr="000C047C">
        <w:rPr>
          <w:rFonts w:ascii="Cambria" w:hAnsi="Cambria"/>
          <w:sz w:val="20"/>
          <w:lang w:val="en-US"/>
        </w:rPr>
        <w:t xml:space="preserve">nformation classified as public will be made available immediately to the Virtual Archive, while information of a confidential or classified nature will be restricted. Access to the latter will be granted once the restrictions expire; immediately for </w:t>
      </w:r>
      <w:r w:rsidR="00826A41">
        <w:rPr>
          <w:rFonts w:ascii="Cambria" w:hAnsi="Cambria"/>
          <w:sz w:val="20"/>
          <w:lang w:val="en-US"/>
        </w:rPr>
        <w:t xml:space="preserve">family members </w:t>
      </w:r>
      <w:r w:rsidR="000C047C" w:rsidRPr="000C047C">
        <w:rPr>
          <w:rFonts w:ascii="Cambria" w:hAnsi="Cambria"/>
          <w:sz w:val="20"/>
          <w:lang w:val="en-US"/>
        </w:rPr>
        <w:t xml:space="preserve">in accordance with the </w:t>
      </w:r>
      <w:r w:rsidR="00D70E8E">
        <w:rPr>
          <w:rFonts w:ascii="Cambria" w:hAnsi="Cambria"/>
          <w:sz w:val="20"/>
          <w:lang w:val="en-US"/>
        </w:rPr>
        <w:t>current legislation</w:t>
      </w:r>
      <w:r w:rsidR="000C047C" w:rsidRPr="000C047C">
        <w:rPr>
          <w:rFonts w:ascii="Cambria" w:hAnsi="Cambria"/>
          <w:sz w:val="20"/>
          <w:lang w:val="en-US"/>
        </w:rPr>
        <w:t xml:space="preserve">; or anonymously </w:t>
      </w:r>
      <w:r w:rsidR="00D70E8E">
        <w:rPr>
          <w:rFonts w:ascii="Cambria" w:hAnsi="Cambria"/>
          <w:sz w:val="20"/>
          <w:lang w:val="en-US"/>
        </w:rPr>
        <w:t xml:space="preserve">to </w:t>
      </w:r>
      <w:r w:rsidR="000C047C" w:rsidRPr="000C047C">
        <w:rPr>
          <w:rFonts w:ascii="Cambria" w:hAnsi="Cambria"/>
          <w:sz w:val="20"/>
          <w:lang w:val="en-US"/>
        </w:rPr>
        <w:t xml:space="preserve">other users, also in accordance with the </w:t>
      </w:r>
      <w:r w:rsidR="00D70E8E">
        <w:rPr>
          <w:rFonts w:ascii="Cambria" w:hAnsi="Cambria"/>
          <w:sz w:val="20"/>
          <w:lang w:val="en-US"/>
        </w:rPr>
        <w:t xml:space="preserve">current </w:t>
      </w:r>
      <w:r w:rsidR="008C15A7">
        <w:rPr>
          <w:rFonts w:ascii="Cambria" w:hAnsi="Cambria"/>
          <w:sz w:val="20"/>
          <w:lang w:val="en-US"/>
        </w:rPr>
        <w:t xml:space="preserve">legislation </w:t>
      </w:r>
      <w:r w:rsidR="000C047C" w:rsidRPr="000C047C">
        <w:rPr>
          <w:rFonts w:ascii="Cambria" w:hAnsi="Cambria"/>
          <w:sz w:val="20"/>
          <w:lang w:val="en-US"/>
        </w:rPr>
        <w:t xml:space="preserve">in Colombia </w:t>
      </w:r>
      <w:r w:rsidR="008C15A7">
        <w:rPr>
          <w:rFonts w:ascii="Cambria" w:hAnsi="Cambria"/>
          <w:sz w:val="20"/>
          <w:lang w:val="en-US"/>
        </w:rPr>
        <w:t xml:space="preserve">on </w:t>
      </w:r>
      <w:r w:rsidR="000C047C" w:rsidRPr="000C047C">
        <w:rPr>
          <w:rFonts w:ascii="Cambria" w:hAnsi="Cambria"/>
          <w:sz w:val="20"/>
          <w:lang w:val="en-US"/>
        </w:rPr>
        <w:t xml:space="preserve">access to information. </w:t>
      </w:r>
    </w:p>
    <w:p w14:paraId="59A65364"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5CD9FDB1" w14:textId="3E9FE537" w:rsidR="000C047C" w:rsidRPr="000C047C" w:rsidRDefault="000C047C" w:rsidP="000C047C">
      <w:pPr>
        <w:pStyle w:val="Default"/>
        <w:numPr>
          <w:ilvl w:val="1"/>
          <w:numId w:val="61"/>
        </w:numPr>
        <w:ind w:left="709" w:right="713" w:firstLine="0"/>
        <w:jc w:val="both"/>
        <w:rPr>
          <w:rFonts w:ascii="Cambria" w:hAnsi="Cambria"/>
          <w:sz w:val="20"/>
          <w:szCs w:val="20"/>
          <w:lang w:val="en-US"/>
        </w:rPr>
      </w:pPr>
      <w:r w:rsidRPr="000C047C">
        <w:rPr>
          <w:rFonts w:ascii="Cambria" w:hAnsi="Cambria"/>
          <w:sz w:val="20"/>
          <w:lang w:val="en-US"/>
        </w:rPr>
        <w:t xml:space="preserve">To this end, the </w:t>
      </w:r>
      <w:r w:rsidR="00B346E5">
        <w:rPr>
          <w:rFonts w:ascii="Cambria" w:hAnsi="Cambria"/>
          <w:sz w:val="20"/>
          <w:lang w:val="en-US"/>
        </w:rPr>
        <w:t xml:space="preserve">submitting </w:t>
      </w:r>
      <w:r w:rsidRPr="000C047C">
        <w:rPr>
          <w:rFonts w:ascii="Cambria" w:hAnsi="Cambria"/>
          <w:sz w:val="20"/>
          <w:lang w:val="en-US"/>
        </w:rPr>
        <w:t xml:space="preserve">entity authorizes the Human Rights Archive Directorate of the National Center of Historical Memory to use the information for the </w:t>
      </w:r>
      <w:r w:rsidR="00573DD4">
        <w:rPr>
          <w:rFonts w:ascii="Cambria" w:hAnsi="Cambria"/>
          <w:sz w:val="20"/>
          <w:lang w:val="en-US"/>
        </w:rPr>
        <w:t xml:space="preserve">preparation </w:t>
      </w:r>
      <w:r w:rsidRPr="000C047C">
        <w:rPr>
          <w:rFonts w:ascii="Cambria" w:hAnsi="Cambria"/>
          <w:sz w:val="20"/>
          <w:lang w:val="en-US"/>
        </w:rPr>
        <w:t xml:space="preserve">of </w:t>
      </w:r>
      <w:r w:rsidR="00573DD4">
        <w:rPr>
          <w:rFonts w:ascii="Cambria" w:hAnsi="Cambria"/>
          <w:sz w:val="20"/>
          <w:lang w:val="en-US"/>
        </w:rPr>
        <w:t xml:space="preserve">various </w:t>
      </w:r>
      <w:r w:rsidR="0025425C">
        <w:rPr>
          <w:rFonts w:ascii="Cambria" w:hAnsi="Cambria"/>
          <w:sz w:val="20"/>
          <w:lang w:val="en-US"/>
        </w:rPr>
        <w:t>art</w:t>
      </w:r>
      <w:r w:rsidRPr="000C047C">
        <w:rPr>
          <w:rFonts w:ascii="Cambria" w:hAnsi="Cambria"/>
          <w:sz w:val="20"/>
          <w:lang w:val="en-US"/>
        </w:rPr>
        <w:t xml:space="preserve">works and communicational and educational </w:t>
      </w:r>
      <w:r w:rsidR="00B22AA5">
        <w:rPr>
          <w:rFonts w:ascii="Cambria" w:hAnsi="Cambria"/>
          <w:sz w:val="20"/>
          <w:lang w:val="en-US"/>
        </w:rPr>
        <w:t xml:space="preserve">pieces </w:t>
      </w:r>
      <w:r w:rsidRPr="000C047C">
        <w:rPr>
          <w:rFonts w:ascii="Cambria" w:hAnsi="Cambria"/>
          <w:sz w:val="20"/>
          <w:lang w:val="en-US"/>
        </w:rPr>
        <w:t xml:space="preserve">without it thereby acquiring any ownership rights or other benefits. Users </w:t>
      </w:r>
      <w:r w:rsidR="00B22AA5">
        <w:rPr>
          <w:rFonts w:ascii="Cambria" w:hAnsi="Cambria"/>
          <w:sz w:val="20"/>
          <w:lang w:val="en-US"/>
        </w:rPr>
        <w:t xml:space="preserve">who use the </w:t>
      </w:r>
      <w:r w:rsidRPr="000C047C">
        <w:rPr>
          <w:rFonts w:ascii="Cambria" w:hAnsi="Cambria"/>
          <w:sz w:val="20"/>
          <w:lang w:val="en-US"/>
        </w:rPr>
        <w:t xml:space="preserve">source must explicitly </w:t>
      </w:r>
      <w:r w:rsidR="00B22AA5">
        <w:rPr>
          <w:rFonts w:ascii="Cambria" w:hAnsi="Cambria"/>
          <w:sz w:val="20"/>
          <w:lang w:val="en-US"/>
        </w:rPr>
        <w:t xml:space="preserve">reference </w:t>
      </w:r>
      <w:r w:rsidRPr="000C047C">
        <w:rPr>
          <w:rFonts w:ascii="Cambria" w:hAnsi="Cambria"/>
          <w:sz w:val="20"/>
          <w:lang w:val="en-US"/>
        </w:rPr>
        <w:t xml:space="preserve">it in their documents, products, and communications. </w:t>
      </w:r>
    </w:p>
    <w:p w14:paraId="31E64B64" w14:textId="77777777" w:rsidR="000C047C" w:rsidRPr="000C047C" w:rsidRDefault="000C047C" w:rsidP="000C047C">
      <w:pPr>
        <w:pStyle w:val="Default"/>
        <w:ind w:right="713"/>
        <w:jc w:val="both"/>
        <w:rPr>
          <w:rFonts w:ascii="Cambria" w:hAnsi="Cambria"/>
          <w:sz w:val="20"/>
          <w:szCs w:val="20"/>
          <w:lang w:val="en-US"/>
        </w:rPr>
      </w:pPr>
    </w:p>
    <w:p w14:paraId="6AE6F7DE" w14:textId="4CC7C582" w:rsidR="000C047C" w:rsidRPr="000C047C" w:rsidRDefault="000C047C" w:rsidP="000C047C">
      <w:pPr>
        <w:pStyle w:val="Default"/>
        <w:numPr>
          <w:ilvl w:val="0"/>
          <w:numId w:val="61"/>
        </w:numPr>
        <w:ind w:left="709" w:right="713" w:firstLine="0"/>
        <w:jc w:val="both"/>
        <w:rPr>
          <w:rFonts w:ascii="Cambria" w:hAnsi="Cambria"/>
          <w:sz w:val="20"/>
          <w:szCs w:val="20"/>
          <w:lang w:val="en-US"/>
        </w:rPr>
      </w:pPr>
      <w:r w:rsidRPr="000C047C">
        <w:rPr>
          <w:rFonts w:ascii="Cambria" w:hAnsi="Cambria"/>
          <w:sz w:val="20"/>
          <w:shd w:val="clear" w:color="auto" w:fill="FFFFFF"/>
          <w:lang w:val="en-US"/>
        </w:rPr>
        <w:t xml:space="preserve">Steps must be taken to make the file available for consultation </w:t>
      </w:r>
      <w:r w:rsidR="0049688D">
        <w:rPr>
          <w:rFonts w:ascii="Cambria" w:hAnsi="Cambria"/>
          <w:sz w:val="20"/>
          <w:shd w:val="clear" w:color="auto" w:fill="FFFFFF"/>
          <w:lang w:val="en-US"/>
        </w:rPr>
        <w:t xml:space="preserve">to </w:t>
      </w:r>
      <w:r w:rsidRPr="000C047C">
        <w:rPr>
          <w:rFonts w:ascii="Cambria" w:hAnsi="Cambria"/>
          <w:sz w:val="20"/>
          <w:shd w:val="clear" w:color="auto" w:fill="FFFFFF"/>
          <w:lang w:val="en-US"/>
        </w:rPr>
        <w:t xml:space="preserve">other departments of the National Center of Historical </w:t>
      </w:r>
      <w:r w:rsidR="004B627C">
        <w:rPr>
          <w:rFonts w:ascii="Cambria" w:hAnsi="Cambria"/>
          <w:sz w:val="20"/>
          <w:shd w:val="clear" w:color="auto" w:fill="FFFFFF"/>
          <w:lang w:val="en-US"/>
        </w:rPr>
        <w:t>Remembrance</w:t>
      </w:r>
      <w:r w:rsidR="004B627C" w:rsidRPr="000C047C">
        <w:rPr>
          <w:rFonts w:ascii="Cambria" w:hAnsi="Cambria"/>
          <w:sz w:val="20"/>
          <w:shd w:val="clear" w:color="auto" w:fill="FFFFFF"/>
          <w:lang w:val="en-US"/>
        </w:rPr>
        <w:t xml:space="preserve"> </w:t>
      </w:r>
      <w:r w:rsidRPr="000C047C">
        <w:rPr>
          <w:rFonts w:ascii="Cambria" w:hAnsi="Cambria"/>
          <w:sz w:val="20"/>
          <w:shd w:val="clear" w:color="auto" w:fill="FFFFFF"/>
          <w:lang w:val="en-US"/>
        </w:rPr>
        <w:t xml:space="preserve">that may require it, to carry out the "investigation on the facts that gave rise to this Agreement and the preparation of a report </w:t>
      </w:r>
      <w:r w:rsidRPr="000C047C">
        <w:rPr>
          <w:rFonts w:ascii="Cambria" w:hAnsi="Cambria"/>
          <w:sz w:val="20"/>
          <w:shd w:val="clear" w:color="auto" w:fill="FFFFFF"/>
          <w:lang w:val="en-US"/>
        </w:rPr>
        <w:lastRenderedPageBreak/>
        <w:t>based on the same", including the information deemed confidential</w:t>
      </w:r>
      <w:r w:rsidR="0015175A">
        <w:rPr>
          <w:rFonts w:ascii="Cambria" w:hAnsi="Cambria"/>
          <w:sz w:val="20"/>
          <w:shd w:val="clear" w:color="auto" w:fill="FFFFFF"/>
          <w:lang w:val="en-US"/>
        </w:rPr>
        <w:t>,</w:t>
      </w:r>
      <w:r w:rsidR="0015175A" w:rsidRPr="004B5146">
        <w:rPr>
          <w:lang w:val="en-US"/>
        </w:rPr>
        <w:t xml:space="preserve"> </w:t>
      </w:r>
      <w:r w:rsidR="0015175A" w:rsidRPr="0015175A">
        <w:rPr>
          <w:rFonts w:ascii="Cambria" w:hAnsi="Cambria"/>
          <w:sz w:val="20"/>
          <w:shd w:val="clear" w:color="auto" w:fill="FFFFFF"/>
          <w:lang w:val="en-US"/>
        </w:rPr>
        <w:t xml:space="preserve">making the corresponding </w:t>
      </w:r>
      <w:r w:rsidR="00703111">
        <w:rPr>
          <w:rFonts w:ascii="Cambria" w:hAnsi="Cambria"/>
          <w:sz w:val="20"/>
          <w:shd w:val="clear" w:color="auto" w:fill="FFFFFF"/>
          <w:lang w:val="en-US"/>
        </w:rPr>
        <w:t>requests</w:t>
      </w:r>
      <w:r w:rsidRPr="000C047C">
        <w:rPr>
          <w:rFonts w:ascii="Cambria" w:hAnsi="Cambria"/>
          <w:sz w:val="20"/>
          <w:shd w:val="clear" w:color="auto" w:fill="FFFFFF"/>
          <w:lang w:val="en-US"/>
        </w:rPr>
        <w:t>.</w:t>
      </w:r>
    </w:p>
    <w:p w14:paraId="39BFF6DC"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146E2F77" w14:textId="26F0EB63" w:rsidR="000C047C" w:rsidRPr="005913D6" w:rsidRDefault="00ED695B" w:rsidP="000C047C">
      <w:pPr>
        <w:pStyle w:val="Default"/>
        <w:numPr>
          <w:ilvl w:val="0"/>
          <w:numId w:val="60"/>
        </w:numPr>
        <w:ind w:left="709" w:right="713" w:firstLine="0"/>
        <w:jc w:val="both"/>
        <w:rPr>
          <w:rFonts w:ascii="Cambria" w:hAnsi="Cambria"/>
          <w:sz w:val="20"/>
          <w:szCs w:val="20"/>
        </w:rPr>
      </w:pPr>
      <w:r>
        <w:rPr>
          <w:rFonts w:ascii="Cambria" w:hAnsi="Cambria"/>
          <w:b/>
          <w:sz w:val="20"/>
        </w:rPr>
        <w:t>REMEMBRANCE</w:t>
      </w:r>
    </w:p>
    <w:p w14:paraId="621F9E07"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71FE5C6A" w14:textId="540A1B75" w:rsidR="000C047C" w:rsidRPr="000C047C" w:rsidRDefault="000C047C" w:rsidP="000C047C">
      <w:pPr>
        <w:pStyle w:val="Default"/>
        <w:ind w:left="709" w:right="713"/>
        <w:jc w:val="both"/>
        <w:rPr>
          <w:rFonts w:ascii="Cambria" w:hAnsi="Cambria"/>
          <w:sz w:val="20"/>
          <w:szCs w:val="20"/>
          <w:lang w:val="en-US"/>
        </w:rPr>
      </w:pPr>
      <w:r w:rsidRPr="000C047C">
        <w:rPr>
          <w:rFonts w:ascii="Cambria" w:hAnsi="Cambria"/>
          <w:sz w:val="20"/>
          <w:lang w:val="en-US"/>
        </w:rPr>
        <w:t xml:space="preserve">The Colombian State, through the National Agency for the Legal Defense of the State and the National Center of Historical </w:t>
      </w:r>
      <w:r w:rsidR="00680EF0">
        <w:rPr>
          <w:rFonts w:ascii="Cambria" w:hAnsi="Cambria"/>
          <w:sz w:val="20"/>
          <w:lang w:val="en-US"/>
        </w:rPr>
        <w:t>Remembrance</w:t>
      </w:r>
      <w:r w:rsidRPr="000C047C">
        <w:rPr>
          <w:rFonts w:ascii="Cambria" w:hAnsi="Cambria"/>
          <w:sz w:val="20"/>
          <w:lang w:val="en-US"/>
        </w:rPr>
        <w:t>, will conduct three (3) roundtable discussions with the representative of the victims, with</w:t>
      </w:r>
      <w:r w:rsidR="00F96CD6">
        <w:rPr>
          <w:rFonts w:ascii="Cambria" w:hAnsi="Cambria"/>
          <w:sz w:val="20"/>
          <w:lang w:val="en-US"/>
        </w:rPr>
        <w:t xml:space="preserve"> the objective of</w:t>
      </w:r>
      <w:r w:rsidRPr="000C047C">
        <w:rPr>
          <w:rFonts w:ascii="Cambria" w:hAnsi="Cambria"/>
          <w:sz w:val="20"/>
          <w:lang w:val="en-US"/>
        </w:rPr>
        <w:t xml:space="preserve">jointly developing a record of the steps that led to this agreement. </w:t>
      </w:r>
    </w:p>
    <w:p w14:paraId="462C4199"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2ADD646C" w14:textId="22CC4055" w:rsidR="000C047C" w:rsidRPr="000C047C" w:rsidRDefault="000C047C" w:rsidP="000C047C">
      <w:pPr>
        <w:pStyle w:val="Default"/>
        <w:ind w:left="709" w:right="713"/>
        <w:jc w:val="both"/>
        <w:rPr>
          <w:rFonts w:ascii="Cambria" w:hAnsi="Cambria"/>
          <w:sz w:val="20"/>
          <w:szCs w:val="20"/>
          <w:lang w:val="en-US"/>
        </w:rPr>
      </w:pPr>
      <w:r w:rsidRPr="000C047C">
        <w:rPr>
          <w:rFonts w:ascii="Cambria" w:hAnsi="Cambria"/>
          <w:sz w:val="20"/>
          <w:lang w:val="en-US"/>
        </w:rPr>
        <w:t>The National Agency for the Legal Defense of the State shall be responsible for performing this measure.</w:t>
      </w:r>
    </w:p>
    <w:p w14:paraId="0A6254E9" w14:textId="77777777" w:rsidR="000C047C" w:rsidRPr="000C047C" w:rsidRDefault="000C047C" w:rsidP="000C047C">
      <w:pPr>
        <w:pStyle w:val="Default"/>
        <w:ind w:right="713"/>
        <w:jc w:val="both"/>
        <w:rPr>
          <w:rFonts w:ascii="Cambria" w:hAnsi="Cambria"/>
          <w:sz w:val="20"/>
          <w:szCs w:val="20"/>
          <w:lang w:val="en-US"/>
        </w:rPr>
      </w:pPr>
    </w:p>
    <w:p w14:paraId="796021AB" w14:textId="77777777" w:rsidR="000C047C" w:rsidRPr="005913D6" w:rsidRDefault="000C047C" w:rsidP="000C047C">
      <w:pPr>
        <w:pStyle w:val="Default"/>
        <w:numPr>
          <w:ilvl w:val="0"/>
          <w:numId w:val="60"/>
        </w:numPr>
        <w:ind w:left="709" w:right="713" w:firstLine="0"/>
        <w:jc w:val="both"/>
        <w:rPr>
          <w:rFonts w:ascii="Cambria" w:hAnsi="Cambria"/>
          <w:b/>
          <w:bCs/>
          <w:sz w:val="20"/>
          <w:szCs w:val="20"/>
        </w:rPr>
      </w:pPr>
      <w:r>
        <w:rPr>
          <w:rFonts w:ascii="Cambria" w:hAnsi="Cambria"/>
          <w:b/>
          <w:sz w:val="20"/>
        </w:rPr>
        <w:t>COMMEMORATIVE PLAQUE</w:t>
      </w:r>
    </w:p>
    <w:p w14:paraId="77F891B5"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15FABEDF" w14:textId="1797DBF4" w:rsidR="000C047C" w:rsidRPr="000C047C" w:rsidRDefault="000C047C" w:rsidP="000C047C">
      <w:pPr>
        <w:pStyle w:val="Default"/>
        <w:ind w:left="709" w:right="713"/>
        <w:jc w:val="both"/>
        <w:rPr>
          <w:rFonts w:ascii="Cambria" w:hAnsi="Cambria"/>
          <w:sz w:val="20"/>
          <w:szCs w:val="20"/>
          <w:lang w:val="en-US"/>
        </w:rPr>
      </w:pPr>
      <w:r w:rsidRPr="000C047C">
        <w:rPr>
          <w:rFonts w:ascii="Cambria" w:hAnsi="Cambria"/>
          <w:sz w:val="20"/>
          <w:lang w:val="en-US"/>
        </w:rPr>
        <w:t xml:space="preserve">At the </w:t>
      </w:r>
      <w:r w:rsidR="002B4F8D">
        <w:rPr>
          <w:rFonts w:ascii="Cambria" w:hAnsi="Cambria"/>
          <w:sz w:val="20"/>
          <w:lang w:val="en-US"/>
        </w:rPr>
        <w:t>c</w:t>
      </w:r>
      <w:r w:rsidR="002D2455">
        <w:rPr>
          <w:rFonts w:ascii="Cambria" w:hAnsi="Cambria"/>
          <w:sz w:val="20"/>
          <w:lang w:val="en-US"/>
        </w:rPr>
        <w:t xml:space="preserve">eremony for the </w:t>
      </w:r>
      <w:r w:rsidRPr="000C047C">
        <w:rPr>
          <w:rFonts w:ascii="Cambria" w:hAnsi="Cambria"/>
          <w:sz w:val="20"/>
          <w:lang w:val="en-US"/>
        </w:rPr>
        <w:t xml:space="preserve">Acknowledgment of Responsibility, the Colombian State will present the family members with a plaque in memory of Denys del Carmen Olivera, Juan José Montes Balasnoa, and Piedad Montes Olivera. The words on the commemorative plaque shall be </w:t>
      </w:r>
      <w:r w:rsidR="00460851">
        <w:rPr>
          <w:rFonts w:ascii="Cambria" w:hAnsi="Cambria"/>
          <w:sz w:val="20"/>
          <w:lang w:val="en-US"/>
        </w:rPr>
        <w:t xml:space="preserve">agreed </w:t>
      </w:r>
      <w:r w:rsidR="002D182A">
        <w:rPr>
          <w:rFonts w:ascii="Cambria" w:hAnsi="Cambria"/>
          <w:sz w:val="20"/>
          <w:lang w:val="en-US"/>
        </w:rPr>
        <w:t>with</w:t>
      </w:r>
      <w:r w:rsidR="00460851" w:rsidRPr="000C047C">
        <w:rPr>
          <w:rFonts w:ascii="Cambria" w:hAnsi="Cambria"/>
          <w:sz w:val="20"/>
          <w:lang w:val="en-US"/>
        </w:rPr>
        <w:t xml:space="preserve"> </w:t>
      </w:r>
      <w:r w:rsidRPr="000C047C">
        <w:rPr>
          <w:rFonts w:ascii="Cambria" w:hAnsi="Cambria"/>
          <w:sz w:val="20"/>
          <w:lang w:val="en-US"/>
        </w:rPr>
        <w:t xml:space="preserve">the family members and their representative. </w:t>
      </w:r>
    </w:p>
    <w:p w14:paraId="4F793D10"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792876A9" w14:textId="758B4156" w:rsidR="000C047C" w:rsidRPr="000C047C" w:rsidRDefault="000C047C" w:rsidP="000C047C">
      <w:pPr>
        <w:pStyle w:val="Default"/>
        <w:ind w:left="709" w:right="713"/>
        <w:jc w:val="both"/>
        <w:rPr>
          <w:rFonts w:ascii="Cambria" w:hAnsi="Cambria"/>
          <w:sz w:val="20"/>
          <w:szCs w:val="20"/>
          <w:lang w:val="en-US"/>
        </w:rPr>
      </w:pPr>
      <w:r w:rsidRPr="000C047C">
        <w:rPr>
          <w:rFonts w:ascii="Cambria" w:hAnsi="Cambria"/>
          <w:sz w:val="20"/>
          <w:lang w:val="en-US"/>
        </w:rPr>
        <w:t>The National Agency for the Legal Defense of the State shall be responsible for performing this measure</w:t>
      </w:r>
      <w:r w:rsidR="00A869FA">
        <w:rPr>
          <w:rFonts w:ascii="Cambria" w:hAnsi="Cambria"/>
          <w:sz w:val="20"/>
          <w:lang w:val="en-US"/>
        </w:rPr>
        <w:t xml:space="preserve">, </w:t>
      </w:r>
      <w:r w:rsidR="00A869FA" w:rsidRPr="00A869FA">
        <w:rPr>
          <w:rFonts w:ascii="Cambria" w:hAnsi="Cambria"/>
          <w:sz w:val="20"/>
          <w:lang w:val="en-US"/>
        </w:rPr>
        <w:t>as part of the measures of symbolic reparation</w:t>
      </w:r>
      <w:r w:rsidRPr="000C047C">
        <w:rPr>
          <w:rFonts w:ascii="Cambria" w:hAnsi="Cambria"/>
          <w:sz w:val="20"/>
          <w:lang w:val="en-US"/>
        </w:rPr>
        <w:t xml:space="preserve">. </w:t>
      </w:r>
    </w:p>
    <w:p w14:paraId="205D2828"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30DA5CA0" w14:textId="08076D29" w:rsidR="000C047C" w:rsidRPr="000C047C" w:rsidRDefault="00EF2563" w:rsidP="000C047C">
      <w:pPr>
        <w:pStyle w:val="Default"/>
        <w:ind w:left="709" w:right="713"/>
        <w:jc w:val="both"/>
        <w:rPr>
          <w:rFonts w:ascii="Cambria" w:hAnsi="Cambria"/>
          <w:b/>
          <w:bCs/>
          <w:sz w:val="20"/>
          <w:szCs w:val="20"/>
          <w:lang w:val="en-US"/>
        </w:rPr>
      </w:pPr>
      <w:r>
        <w:rPr>
          <w:rFonts w:ascii="Cambria" w:hAnsi="Cambria"/>
          <w:b/>
          <w:sz w:val="20"/>
          <w:lang w:val="en-US"/>
        </w:rPr>
        <w:t xml:space="preserve">PART </w:t>
      </w:r>
      <w:r w:rsidR="000C047C" w:rsidRPr="000C047C">
        <w:rPr>
          <w:rFonts w:ascii="Cambria" w:hAnsi="Cambria"/>
          <w:b/>
          <w:sz w:val="20"/>
          <w:lang w:val="en-US"/>
        </w:rPr>
        <w:t>SIX: HEALTH MEASURE</w:t>
      </w:r>
    </w:p>
    <w:p w14:paraId="442034A6" w14:textId="77777777" w:rsidR="000C047C" w:rsidRPr="000C047C" w:rsidRDefault="000C047C" w:rsidP="000C047C">
      <w:pPr>
        <w:pStyle w:val="Default"/>
        <w:ind w:right="713"/>
        <w:jc w:val="both"/>
        <w:rPr>
          <w:rFonts w:ascii="Cambria" w:hAnsi="Cambria"/>
          <w:b/>
          <w:bCs/>
          <w:sz w:val="20"/>
          <w:szCs w:val="20"/>
          <w:lang w:val="en-US"/>
        </w:rPr>
      </w:pPr>
    </w:p>
    <w:p w14:paraId="2290ABEF" w14:textId="7A5688C2" w:rsidR="000C047C" w:rsidRPr="00B92A59" w:rsidRDefault="000C047C" w:rsidP="000C047C">
      <w:pPr>
        <w:ind w:left="709" w:right="713"/>
        <w:jc w:val="both"/>
        <w:rPr>
          <w:rFonts w:ascii="Cambria" w:hAnsi="Cambria"/>
          <w:sz w:val="20"/>
          <w:szCs w:val="20"/>
        </w:rPr>
      </w:pPr>
      <w:r>
        <w:rPr>
          <w:rFonts w:ascii="Cambria" w:hAnsi="Cambria"/>
          <w:sz w:val="20"/>
        </w:rPr>
        <w:t xml:space="preserve">The Ministry of Health and Social Protection will implement health rehabilitation measures </w:t>
      </w:r>
      <w:r w:rsidR="00C9726D">
        <w:rPr>
          <w:rFonts w:ascii="Cambria" w:hAnsi="Cambria"/>
          <w:sz w:val="20"/>
        </w:rPr>
        <w:t>consisting</w:t>
      </w:r>
      <w:r w:rsidR="00FC5DAC">
        <w:rPr>
          <w:rFonts w:ascii="Cambria" w:hAnsi="Cambria"/>
          <w:sz w:val="20"/>
        </w:rPr>
        <w:t xml:space="preserve"> of </w:t>
      </w:r>
      <w:r>
        <w:rPr>
          <w:rFonts w:ascii="Cambria" w:hAnsi="Cambria"/>
          <w:sz w:val="20"/>
        </w:rPr>
        <w:t xml:space="preserve">medical, psychological, and psychosocial care through the General Social Security Health System (SGSSS) and the Psychosocial and Integral Health Care Program for Victims (PAPSIVI). </w:t>
      </w:r>
    </w:p>
    <w:p w14:paraId="2320AB52"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375924CF" w14:textId="77777777" w:rsidR="000C047C" w:rsidRPr="00B92A59" w:rsidRDefault="000C047C" w:rsidP="000C047C">
      <w:pPr>
        <w:ind w:left="709" w:right="713"/>
        <w:jc w:val="both"/>
        <w:rPr>
          <w:rFonts w:ascii="Cambria" w:hAnsi="Cambria"/>
          <w:sz w:val="20"/>
          <w:szCs w:val="20"/>
        </w:rPr>
      </w:pPr>
      <w:r>
        <w:rPr>
          <w:rFonts w:ascii="Cambria" w:hAnsi="Cambria"/>
          <w:sz w:val="20"/>
        </w:rPr>
        <w:t xml:space="preserve">Adequate, timely, and priority treatment will be guaranteed to those persons who require and request it, and for as long as necessary. The psychological treatment and psychosocial care provided must take into account the particular circumstances and needs of each person, so that family and individual treatment is provided, as agreed with each person and after an individual assessment. </w:t>
      </w:r>
    </w:p>
    <w:p w14:paraId="71E5DFA1"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1AC119CD" w14:textId="4ED347FC" w:rsidR="000C047C" w:rsidRPr="00B92A59" w:rsidRDefault="000C047C" w:rsidP="000C047C">
      <w:pPr>
        <w:ind w:left="709" w:right="713"/>
        <w:jc w:val="both"/>
        <w:rPr>
          <w:rFonts w:ascii="Cambria" w:hAnsi="Cambria"/>
          <w:sz w:val="20"/>
          <w:szCs w:val="20"/>
        </w:rPr>
      </w:pPr>
      <w:r>
        <w:rPr>
          <w:rFonts w:ascii="Cambria" w:hAnsi="Cambria"/>
          <w:sz w:val="20"/>
        </w:rPr>
        <w:t>For access to comprehensive health care, the beneficiaries of the measures are guaranteed timely and quality access to the medicines and treatments required (including physical and mental health care), in accordance with the provisions governing the SGSSS, in addition to receiving priority and specialized care based on their status as victims. The a</w:t>
      </w:r>
      <w:r w:rsidR="00102F45">
        <w:rPr>
          <w:rFonts w:ascii="Cambria" w:hAnsi="Cambria"/>
          <w:sz w:val="20"/>
        </w:rPr>
        <w:t>fore</w:t>
      </w:r>
      <w:r>
        <w:rPr>
          <w:rFonts w:ascii="Cambria" w:hAnsi="Cambria"/>
          <w:sz w:val="20"/>
        </w:rPr>
        <w:t xml:space="preserve">mentioned care will </w:t>
      </w:r>
      <w:r w:rsidR="007A5377">
        <w:rPr>
          <w:rFonts w:ascii="Cambria" w:hAnsi="Cambria"/>
          <w:sz w:val="20"/>
        </w:rPr>
        <w:t xml:space="preserve">give </w:t>
      </w:r>
      <w:r>
        <w:rPr>
          <w:rFonts w:ascii="Cambria" w:hAnsi="Cambria"/>
          <w:sz w:val="20"/>
        </w:rPr>
        <w:t xml:space="preserve">special attention to the situation of Mrs. Bernarda Berena Montes Olivera and ensure that continuous, timely, and high quality mental health care is available </w:t>
      </w:r>
      <w:r w:rsidR="00D17956">
        <w:rPr>
          <w:rFonts w:ascii="Cambria" w:hAnsi="Cambria"/>
          <w:sz w:val="20"/>
        </w:rPr>
        <w:t xml:space="preserve">to </w:t>
      </w:r>
      <w:r>
        <w:rPr>
          <w:rFonts w:ascii="Cambria" w:hAnsi="Cambria"/>
          <w:sz w:val="20"/>
        </w:rPr>
        <w:t xml:space="preserve">her. </w:t>
      </w:r>
    </w:p>
    <w:p w14:paraId="7D07A01D"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28968627" w14:textId="5A07A270" w:rsidR="000C047C" w:rsidRDefault="000C047C" w:rsidP="000C047C">
      <w:pPr>
        <w:ind w:left="709" w:right="713"/>
        <w:jc w:val="both"/>
        <w:rPr>
          <w:rFonts w:ascii="Cambria" w:hAnsi="Cambria"/>
          <w:sz w:val="20"/>
          <w:szCs w:val="20"/>
        </w:rPr>
      </w:pPr>
      <w:r>
        <w:rPr>
          <w:rFonts w:ascii="Cambria" w:hAnsi="Cambria"/>
          <w:sz w:val="20"/>
        </w:rPr>
        <w:t>These measures will be implemented upon the sign</w:t>
      </w:r>
      <w:r w:rsidR="00BB0B3B">
        <w:rPr>
          <w:rFonts w:ascii="Cambria" w:hAnsi="Cambria"/>
          <w:sz w:val="20"/>
        </w:rPr>
        <w:t>ature</w:t>
      </w:r>
      <w:r>
        <w:rPr>
          <w:rFonts w:ascii="Cambria" w:hAnsi="Cambria"/>
          <w:sz w:val="20"/>
        </w:rPr>
        <w:t xml:space="preserve"> of the </w:t>
      </w:r>
      <w:r w:rsidR="00F61BFD">
        <w:rPr>
          <w:rFonts w:ascii="Cambria" w:hAnsi="Cambria"/>
          <w:sz w:val="20"/>
        </w:rPr>
        <w:t>f</w:t>
      </w:r>
      <w:r>
        <w:rPr>
          <w:rFonts w:ascii="Cambria" w:hAnsi="Cambria"/>
          <w:sz w:val="20"/>
        </w:rPr>
        <w:t xml:space="preserve">riendly </w:t>
      </w:r>
      <w:r w:rsidR="00F61BFD">
        <w:rPr>
          <w:rFonts w:ascii="Cambria" w:hAnsi="Cambria"/>
          <w:sz w:val="20"/>
        </w:rPr>
        <w:t>s</w:t>
      </w:r>
      <w:r>
        <w:rPr>
          <w:rFonts w:ascii="Cambria" w:hAnsi="Cambria"/>
          <w:sz w:val="20"/>
        </w:rPr>
        <w:t xml:space="preserve">ettlement </w:t>
      </w:r>
      <w:r w:rsidR="00F61BFD">
        <w:rPr>
          <w:rFonts w:ascii="Cambria" w:hAnsi="Cambria"/>
          <w:sz w:val="20"/>
        </w:rPr>
        <w:t>a</w:t>
      </w:r>
      <w:r>
        <w:rPr>
          <w:rFonts w:ascii="Cambria" w:hAnsi="Cambria"/>
          <w:sz w:val="20"/>
        </w:rPr>
        <w:t>greement.</w:t>
      </w:r>
      <w:r w:rsidRPr="00B92A59">
        <w:rPr>
          <w:rStyle w:val="FootnoteReference"/>
          <w:rFonts w:ascii="Cambria" w:hAnsi="Cambria"/>
          <w:sz w:val="20"/>
          <w:szCs w:val="20"/>
        </w:rPr>
        <w:footnoteReference w:id="8"/>
      </w:r>
    </w:p>
    <w:p w14:paraId="31A54555"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2C61AC71" w14:textId="08282773" w:rsidR="000C047C" w:rsidRDefault="00707604" w:rsidP="000C047C">
      <w:pPr>
        <w:ind w:left="709" w:right="713"/>
        <w:jc w:val="both"/>
        <w:rPr>
          <w:rFonts w:ascii="Cambria" w:hAnsi="Cambria" w:cs="Arial"/>
          <w:b/>
          <w:sz w:val="20"/>
          <w:szCs w:val="20"/>
          <w:shd w:val="clear" w:color="auto" w:fill="FFFFFF"/>
        </w:rPr>
      </w:pPr>
      <w:r>
        <w:rPr>
          <w:rFonts w:ascii="Cambria" w:hAnsi="Cambria"/>
          <w:b/>
          <w:sz w:val="20"/>
          <w:shd w:val="clear" w:color="auto" w:fill="FFFFFF"/>
        </w:rPr>
        <w:t xml:space="preserve">PART </w:t>
      </w:r>
      <w:r w:rsidR="000C047C">
        <w:rPr>
          <w:rFonts w:ascii="Cambria" w:hAnsi="Cambria"/>
          <w:b/>
          <w:sz w:val="20"/>
          <w:shd w:val="clear" w:color="auto" w:fill="FFFFFF"/>
        </w:rPr>
        <w:t>SEVEN: GUARANTEES OF NON REPETITION</w:t>
      </w:r>
    </w:p>
    <w:p w14:paraId="3A21275E" w14:textId="77777777" w:rsidR="000C047C" w:rsidRPr="000A2C03" w:rsidRDefault="000C047C" w:rsidP="000C047C">
      <w:pPr>
        <w:pStyle w:val="paragraph"/>
        <w:spacing w:before="0" w:beforeAutospacing="0" w:after="0" w:afterAutospacing="0"/>
        <w:jc w:val="both"/>
        <w:textAlignment w:val="baseline"/>
        <w:rPr>
          <w:rFonts w:ascii="Cambria" w:hAnsi="Cambria" w:cs="Arial"/>
          <w:b/>
          <w:sz w:val="20"/>
          <w:szCs w:val="20"/>
          <w:shd w:val="clear" w:color="auto" w:fill="FFFFFF"/>
        </w:rPr>
      </w:pPr>
    </w:p>
    <w:p w14:paraId="24F02375" w14:textId="65DD8A9B" w:rsidR="000C047C" w:rsidRDefault="000C047C" w:rsidP="000C047C">
      <w:pPr>
        <w:ind w:left="709" w:right="713"/>
        <w:jc w:val="both"/>
        <w:rPr>
          <w:rFonts w:ascii="Cambria" w:hAnsi="Cambria" w:cs="Arial"/>
          <w:bCs/>
          <w:sz w:val="20"/>
          <w:szCs w:val="20"/>
          <w:shd w:val="clear" w:color="auto" w:fill="FFFFFF"/>
        </w:rPr>
      </w:pPr>
      <w:r>
        <w:rPr>
          <w:rFonts w:ascii="Cambria" w:hAnsi="Cambria"/>
          <w:sz w:val="20"/>
          <w:shd w:val="clear" w:color="auto" w:fill="FFFFFF"/>
        </w:rPr>
        <w:t xml:space="preserve">The National Agency for the Legal Defense of the State shall inform the family members, through their representative, and the Inter-American Commission on Human Rights </w:t>
      </w:r>
      <w:r w:rsidR="002D6367">
        <w:rPr>
          <w:rFonts w:ascii="Cambria" w:hAnsi="Cambria"/>
          <w:sz w:val="20"/>
          <w:shd w:val="clear" w:color="auto" w:fill="FFFFFF"/>
        </w:rPr>
        <w:t xml:space="preserve">of </w:t>
      </w:r>
      <w:r>
        <w:rPr>
          <w:rFonts w:ascii="Cambria" w:hAnsi="Cambria"/>
          <w:sz w:val="20"/>
          <w:shd w:val="clear" w:color="auto" w:fill="FFFFFF"/>
        </w:rPr>
        <w:t xml:space="preserve">the trainings </w:t>
      </w:r>
      <w:r w:rsidR="009D7FB5">
        <w:rPr>
          <w:rFonts w:ascii="Cambria" w:hAnsi="Cambria"/>
          <w:sz w:val="20"/>
          <w:shd w:val="clear" w:color="auto" w:fill="FFFFFF"/>
        </w:rPr>
        <w:t xml:space="preserve">on human rights </w:t>
      </w:r>
      <w:r w:rsidR="008B219D">
        <w:rPr>
          <w:rFonts w:ascii="Cambria" w:hAnsi="Cambria"/>
          <w:sz w:val="20"/>
          <w:shd w:val="clear" w:color="auto" w:fill="FFFFFF"/>
        </w:rPr>
        <w:t xml:space="preserve">related to </w:t>
      </w:r>
      <w:r>
        <w:rPr>
          <w:rFonts w:ascii="Cambria" w:hAnsi="Cambria"/>
          <w:sz w:val="20"/>
          <w:shd w:val="clear" w:color="auto" w:fill="FFFFFF"/>
        </w:rPr>
        <w:t>the judicial functions</w:t>
      </w:r>
      <w:r w:rsidR="008F00C6">
        <w:rPr>
          <w:rFonts w:ascii="Cambria" w:hAnsi="Cambria"/>
          <w:sz w:val="20"/>
          <w:shd w:val="clear" w:color="auto" w:fill="FFFFFF"/>
        </w:rPr>
        <w:t>,</w:t>
      </w:r>
      <w:r>
        <w:rPr>
          <w:rFonts w:ascii="Cambria" w:hAnsi="Cambria"/>
          <w:sz w:val="20"/>
          <w:shd w:val="clear" w:color="auto" w:fill="FFFFFF"/>
        </w:rPr>
        <w:t xml:space="preserve"> conducted </w:t>
      </w:r>
      <w:r w:rsidR="00035DA2">
        <w:rPr>
          <w:rFonts w:ascii="Cambria" w:hAnsi="Cambria"/>
          <w:sz w:val="20"/>
          <w:shd w:val="clear" w:color="auto" w:fill="FFFFFF"/>
        </w:rPr>
        <w:t xml:space="preserve">to </w:t>
      </w:r>
      <w:r>
        <w:rPr>
          <w:rFonts w:ascii="Cambria" w:hAnsi="Cambria"/>
          <w:sz w:val="20"/>
          <w:shd w:val="clear" w:color="auto" w:fill="FFFFFF"/>
        </w:rPr>
        <w:t xml:space="preserve">the Ministry of National Defense and the </w:t>
      </w:r>
      <w:r w:rsidR="00A17C1D">
        <w:rPr>
          <w:rFonts w:ascii="Cambria" w:hAnsi="Cambria"/>
          <w:sz w:val="20"/>
          <w:shd w:val="clear" w:color="auto" w:fill="FFFFFF"/>
        </w:rPr>
        <w:t>Prosecutor</w:t>
      </w:r>
      <w:r>
        <w:rPr>
          <w:rFonts w:ascii="Cambria" w:hAnsi="Cambria"/>
          <w:sz w:val="20"/>
          <w:shd w:val="clear" w:color="auto" w:fill="FFFFFF"/>
        </w:rPr>
        <w:t xml:space="preserve">'s Office during the years 2023 and 2024.  </w:t>
      </w:r>
    </w:p>
    <w:p w14:paraId="2B8CFEF8" w14:textId="77777777" w:rsidR="000C047C" w:rsidRPr="000A2C03" w:rsidRDefault="000C047C" w:rsidP="000C047C">
      <w:pPr>
        <w:pStyle w:val="paragraph"/>
        <w:spacing w:before="0" w:beforeAutospacing="0" w:after="0" w:afterAutospacing="0"/>
        <w:jc w:val="both"/>
        <w:textAlignment w:val="baseline"/>
        <w:rPr>
          <w:rFonts w:ascii="Cambria" w:hAnsi="Cambria" w:cs="Arial"/>
          <w:bCs/>
          <w:sz w:val="20"/>
          <w:szCs w:val="20"/>
          <w:shd w:val="clear" w:color="auto" w:fill="FFFFFF"/>
        </w:rPr>
      </w:pPr>
    </w:p>
    <w:p w14:paraId="5B1E4429" w14:textId="564E115E" w:rsidR="000C047C" w:rsidRDefault="00827050" w:rsidP="000C047C">
      <w:pPr>
        <w:ind w:left="709" w:right="713"/>
        <w:jc w:val="both"/>
        <w:rPr>
          <w:rFonts w:ascii="Cambria" w:hAnsi="Cambria" w:cs="Arial"/>
          <w:b/>
          <w:sz w:val="20"/>
          <w:szCs w:val="20"/>
          <w:shd w:val="clear" w:color="auto" w:fill="FFFFFF"/>
        </w:rPr>
      </w:pPr>
      <w:r>
        <w:rPr>
          <w:rFonts w:ascii="Cambria" w:hAnsi="Cambria"/>
          <w:b/>
          <w:sz w:val="20"/>
          <w:shd w:val="clear" w:color="auto" w:fill="FFFFFF"/>
        </w:rPr>
        <w:lastRenderedPageBreak/>
        <w:t xml:space="preserve">PART </w:t>
      </w:r>
      <w:r w:rsidR="000C047C">
        <w:rPr>
          <w:rFonts w:ascii="Cambria" w:hAnsi="Cambria"/>
          <w:b/>
          <w:sz w:val="20"/>
          <w:shd w:val="clear" w:color="auto" w:fill="FFFFFF"/>
        </w:rPr>
        <w:t>EIGHT: FINANCIAL COMPENSATION</w:t>
      </w:r>
    </w:p>
    <w:p w14:paraId="3329D175" w14:textId="77777777" w:rsidR="000C047C" w:rsidRPr="000A2C03" w:rsidRDefault="000C047C" w:rsidP="000C047C">
      <w:pPr>
        <w:pStyle w:val="paragraph"/>
        <w:spacing w:before="0" w:beforeAutospacing="0" w:after="0" w:afterAutospacing="0"/>
        <w:jc w:val="both"/>
        <w:textAlignment w:val="baseline"/>
        <w:rPr>
          <w:rFonts w:ascii="Cambria" w:hAnsi="Cambria" w:cs="Arial"/>
          <w:b/>
          <w:sz w:val="20"/>
          <w:szCs w:val="20"/>
          <w:shd w:val="clear" w:color="auto" w:fill="FFFFFF"/>
        </w:rPr>
      </w:pPr>
    </w:p>
    <w:p w14:paraId="665532F1" w14:textId="2E9BBB27" w:rsidR="000C047C" w:rsidRDefault="000C047C" w:rsidP="000C047C">
      <w:pPr>
        <w:ind w:left="709" w:right="713"/>
        <w:jc w:val="both"/>
        <w:rPr>
          <w:rFonts w:ascii="Cambria" w:hAnsi="Cambria"/>
          <w:sz w:val="20"/>
          <w:szCs w:val="20"/>
        </w:rPr>
      </w:pPr>
      <w:bookmarkStart w:id="0" w:name="_Hlk74122844"/>
      <w:r>
        <w:rPr>
          <w:rFonts w:ascii="Cambria" w:hAnsi="Cambria"/>
          <w:sz w:val="20"/>
        </w:rPr>
        <w:t xml:space="preserve">The State shall </w:t>
      </w:r>
      <w:r w:rsidR="00DD2BD4">
        <w:rPr>
          <w:rFonts w:ascii="Cambria" w:hAnsi="Cambria"/>
          <w:sz w:val="20"/>
        </w:rPr>
        <w:t>proceed with the application of</w:t>
      </w:r>
      <w:r w:rsidR="00A44522">
        <w:rPr>
          <w:rFonts w:ascii="Cambria" w:hAnsi="Cambria"/>
          <w:sz w:val="20"/>
        </w:rPr>
        <w:t xml:space="preserve"> </w:t>
      </w:r>
      <w:r>
        <w:rPr>
          <w:rFonts w:ascii="Cambria" w:hAnsi="Cambria"/>
          <w:sz w:val="20"/>
        </w:rPr>
        <w:t xml:space="preserve">Law 288 of 1996, with the purpose of </w:t>
      </w:r>
      <w:r w:rsidR="00781E33">
        <w:rPr>
          <w:rFonts w:ascii="Cambria" w:hAnsi="Cambria"/>
          <w:sz w:val="20"/>
        </w:rPr>
        <w:t>compensati</w:t>
      </w:r>
      <w:r w:rsidR="008040DC">
        <w:rPr>
          <w:rFonts w:ascii="Cambria" w:hAnsi="Cambria"/>
          <w:sz w:val="20"/>
        </w:rPr>
        <w:t>ng</w:t>
      </w:r>
      <w:r w:rsidR="00781E33">
        <w:rPr>
          <w:rFonts w:ascii="Cambria" w:hAnsi="Cambria"/>
          <w:sz w:val="20"/>
        </w:rPr>
        <w:t xml:space="preserve"> the non-material </w:t>
      </w:r>
      <w:r>
        <w:rPr>
          <w:rFonts w:ascii="Cambria" w:hAnsi="Cambria"/>
          <w:sz w:val="20"/>
        </w:rPr>
        <w:t xml:space="preserve">and material damages that may be proven </w:t>
      </w:r>
      <w:r w:rsidR="00366123">
        <w:rPr>
          <w:rFonts w:ascii="Cambria" w:hAnsi="Cambria"/>
          <w:sz w:val="20"/>
        </w:rPr>
        <w:t xml:space="preserve">in favor of </w:t>
      </w:r>
      <w:r>
        <w:rPr>
          <w:rFonts w:ascii="Cambria" w:hAnsi="Cambria"/>
          <w:sz w:val="20"/>
        </w:rPr>
        <w:t xml:space="preserve">the victims recognized in </w:t>
      </w:r>
      <w:r w:rsidR="002B4F8D">
        <w:rPr>
          <w:rFonts w:ascii="Cambria" w:hAnsi="Cambria"/>
          <w:sz w:val="20"/>
        </w:rPr>
        <w:t xml:space="preserve">clause three </w:t>
      </w:r>
      <w:r>
        <w:rPr>
          <w:rFonts w:ascii="Cambria" w:hAnsi="Cambria"/>
          <w:sz w:val="20"/>
        </w:rPr>
        <w:t xml:space="preserve">of this </w:t>
      </w:r>
      <w:r w:rsidR="00BE6C12">
        <w:rPr>
          <w:rFonts w:ascii="Cambria" w:hAnsi="Cambria"/>
          <w:sz w:val="20"/>
        </w:rPr>
        <w:t>f</w:t>
      </w:r>
      <w:r>
        <w:rPr>
          <w:rFonts w:ascii="Cambria" w:hAnsi="Cambria"/>
          <w:sz w:val="20"/>
        </w:rPr>
        <w:t xml:space="preserve">riendly </w:t>
      </w:r>
      <w:r w:rsidR="00BE6C12">
        <w:rPr>
          <w:rFonts w:ascii="Cambria" w:hAnsi="Cambria"/>
          <w:sz w:val="20"/>
        </w:rPr>
        <w:t>s</w:t>
      </w:r>
      <w:r>
        <w:rPr>
          <w:rFonts w:ascii="Cambria" w:hAnsi="Cambria"/>
          <w:sz w:val="20"/>
        </w:rPr>
        <w:t xml:space="preserve">ettlement </w:t>
      </w:r>
      <w:r w:rsidR="00BE6C12">
        <w:rPr>
          <w:rFonts w:ascii="Cambria" w:hAnsi="Cambria"/>
          <w:sz w:val="20"/>
        </w:rPr>
        <w:t>a</w:t>
      </w:r>
      <w:r>
        <w:rPr>
          <w:rFonts w:ascii="Cambria" w:hAnsi="Cambria"/>
          <w:sz w:val="20"/>
        </w:rPr>
        <w:t xml:space="preserve">greement. For these purposes, the criteria and amounts recognized by </w:t>
      </w:r>
      <w:r w:rsidR="00C63829">
        <w:rPr>
          <w:rFonts w:ascii="Cambria" w:hAnsi="Cambria"/>
          <w:sz w:val="20"/>
        </w:rPr>
        <w:t xml:space="preserve">the existing national case law </w:t>
      </w:r>
      <w:r>
        <w:rPr>
          <w:rFonts w:ascii="Cambria" w:hAnsi="Cambria"/>
          <w:sz w:val="20"/>
        </w:rPr>
        <w:t>shall be applied.</w:t>
      </w:r>
    </w:p>
    <w:p w14:paraId="6D9045A7"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52CD0C68" w14:textId="151BE96D" w:rsidR="000C047C" w:rsidRDefault="000C047C" w:rsidP="000C047C">
      <w:pPr>
        <w:ind w:left="709" w:right="713"/>
        <w:jc w:val="both"/>
        <w:rPr>
          <w:rFonts w:ascii="Cambria" w:hAnsi="Cambria"/>
          <w:sz w:val="20"/>
          <w:szCs w:val="20"/>
        </w:rPr>
      </w:pPr>
      <w:r>
        <w:rPr>
          <w:rFonts w:ascii="Cambria" w:hAnsi="Cambria"/>
          <w:sz w:val="20"/>
        </w:rPr>
        <w:t xml:space="preserve">In the event that any victim has been compensated through the administrative </w:t>
      </w:r>
      <w:r w:rsidR="00DF5F50">
        <w:rPr>
          <w:rFonts w:ascii="Cambria" w:hAnsi="Cambria"/>
          <w:sz w:val="20"/>
        </w:rPr>
        <w:t xml:space="preserve">courts </w:t>
      </w:r>
      <w:r>
        <w:rPr>
          <w:rFonts w:ascii="Cambria" w:hAnsi="Cambria"/>
          <w:sz w:val="20"/>
        </w:rPr>
        <w:t xml:space="preserve">and/or has </w:t>
      </w:r>
      <w:r w:rsidR="00FA7D33">
        <w:rPr>
          <w:rFonts w:ascii="Cambria" w:hAnsi="Cambria"/>
          <w:sz w:val="20"/>
        </w:rPr>
        <w:t xml:space="preserve">been a beneficiary of </w:t>
      </w:r>
      <w:r>
        <w:rPr>
          <w:rFonts w:ascii="Cambria" w:hAnsi="Cambria"/>
          <w:sz w:val="20"/>
        </w:rPr>
        <w:t>administrative reparation</w:t>
      </w:r>
      <w:r w:rsidR="00DB0550">
        <w:rPr>
          <w:rFonts w:ascii="Cambria" w:hAnsi="Cambria"/>
          <w:sz w:val="20"/>
        </w:rPr>
        <w:t>s</w:t>
      </w:r>
      <w:r>
        <w:rPr>
          <w:rFonts w:ascii="Cambria" w:hAnsi="Cambria"/>
          <w:sz w:val="20"/>
        </w:rPr>
        <w:t xml:space="preserve">, the amounts </w:t>
      </w:r>
      <w:r w:rsidR="00FA7D33">
        <w:rPr>
          <w:rFonts w:ascii="Cambria" w:hAnsi="Cambria"/>
          <w:sz w:val="20"/>
        </w:rPr>
        <w:t xml:space="preserve">that have </w:t>
      </w:r>
      <w:r>
        <w:rPr>
          <w:rFonts w:ascii="Cambria" w:hAnsi="Cambria"/>
          <w:sz w:val="20"/>
        </w:rPr>
        <w:t xml:space="preserve">been </w:t>
      </w:r>
      <w:r w:rsidR="00FA7D33">
        <w:rPr>
          <w:rFonts w:ascii="Cambria" w:hAnsi="Cambria"/>
          <w:sz w:val="20"/>
        </w:rPr>
        <w:t xml:space="preserve">recognized therein </w:t>
      </w:r>
      <w:r>
        <w:rPr>
          <w:rFonts w:ascii="Cambria" w:hAnsi="Cambria"/>
          <w:sz w:val="20"/>
        </w:rPr>
        <w:t xml:space="preserve">shall be discounted from the </w:t>
      </w:r>
      <w:r w:rsidR="00FA7D33">
        <w:rPr>
          <w:rFonts w:ascii="Cambria" w:hAnsi="Cambria"/>
          <w:sz w:val="20"/>
        </w:rPr>
        <w:t xml:space="preserve">financial </w:t>
      </w:r>
      <w:r>
        <w:rPr>
          <w:rFonts w:ascii="Cambria" w:hAnsi="Cambria"/>
          <w:sz w:val="20"/>
        </w:rPr>
        <w:t xml:space="preserve">compensation granted in accordance with the procedure provided herein in order to avoid double or excessive compensation. </w:t>
      </w:r>
    </w:p>
    <w:p w14:paraId="1F61CB9F"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05CD6470" w14:textId="0AD83CF7" w:rsidR="000C047C" w:rsidRPr="005913D6" w:rsidRDefault="000C047C" w:rsidP="000C047C">
      <w:pPr>
        <w:ind w:left="709" w:right="713"/>
        <w:jc w:val="both"/>
        <w:rPr>
          <w:rFonts w:ascii="Cambria" w:hAnsi="Cambria"/>
          <w:sz w:val="20"/>
          <w:szCs w:val="20"/>
        </w:rPr>
      </w:pPr>
      <w:r>
        <w:rPr>
          <w:rFonts w:ascii="Cambria" w:hAnsi="Cambria"/>
          <w:sz w:val="20"/>
        </w:rPr>
        <w:t xml:space="preserve">Likewise, </w:t>
      </w:r>
      <w:bookmarkEnd w:id="0"/>
      <w:r w:rsidR="00EC2BAF">
        <w:rPr>
          <w:rFonts w:ascii="Cambria" w:hAnsi="Cambria"/>
          <w:sz w:val="20"/>
        </w:rPr>
        <w:t xml:space="preserve">for the purpose of the compensation of damages, </w:t>
      </w:r>
      <w:r>
        <w:rPr>
          <w:rFonts w:ascii="Cambria" w:hAnsi="Cambria"/>
          <w:sz w:val="20"/>
        </w:rPr>
        <w:t xml:space="preserve">the evidence used shall be </w:t>
      </w:r>
      <w:r w:rsidR="00B22DBF">
        <w:rPr>
          <w:rFonts w:ascii="Cambria" w:hAnsi="Cambria"/>
          <w:sz w:val="20"/>
        </w:rPr>
        <w:t xml:space="preserve">in accordance with </w:t>
      </w:r>
      <w:r w:rsidR="00CC3385">
        <w:rPr>
          <w:rFonts w:ascii="Cambria" w:hAnsi="Cambria"/>
          <w:sz w:val="20"/>
        </w:rPr>
        <w:t>relevant procedural norms of Colombia</w:t>
      </w:r>
      <w:r>
        <w:rPr>
          <w:rFonts w:ascii="Cambria" w:hAnsi="Cambria"/>
          <w:sz w:val="20"/>
        </w:rPr>
        <w:t>.</w:t>
      </w:r>
    </w:p>
    <w:p w14:paraId="3392CFB7"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22376DB5" w14:textId="4D9CE25D" w:rsidR="000C047C" w:rsidRDefault="00CC3385" w:rsidP="000C047C">
      <w:pPr>
        <w:ind w:left="709" w:right="713"/>
        <w:jc w:val="both"/>
        <w:rPr>
          <w:rFonts w:ascii="Cambria" w:hAnsi="Cambria"/>
          <w:b/>
          <w:bCs/>
          <w:sz w:val="20"/>
          <w:szCs w:val="20"/>
        </w:rPr>
      </w:pPr>
      <w:r>
        <w:rPr>
          <w:rFonts w:ascii="Cambria" w:hAnsi="Cambria"/>
          <w:b/>
          <w:sz w:val="20"/>
          <w:shd w:val="clear" w:color="auto" w:fill="FFFFFF"/>
        </w:rPr>
        <w:t xml:space="preserve">PART </w:t>
      </w:r>
      <w:r w:rsidR="000C047C">
        <w:rPr>
          <w:rFonts w:ascii="Cambria" w:hAnsi="Cambria"/>
          <w:b/>
          <w:sz w:val="20"/>
          <w:shd w:val="clear" w:color="auto" w:fill="FFFFFF"/>
        </w:rPr>
        <w:t>NINE:</w:t>
      </w:r>
      <w:r w:rsidR="000C047C">
        <w:rPr>
          <w:rFonts w:ascii="Cambria" w:hAnsi="Cambria"/>
          <w:sz w:val="20"/>
          <w:shd w:val="clear" w:color="auto" w:fill="FFFFFF"/>
        </w:rPr>
        <w:t xml:space="preserve"> </w:t>
      </w:r>
      <w:r w:rsidR="000C047C">
        <w:rPr>
          <w:rFonts w:ascii="Cambria" w:hAnsi="Cambria"/>
          <w:b/>
          <w:sz w:val="20"/>
        </w:rPr>
        <w:t xml:space="preserve">PUBLICATION OF THE ARTICLE 49 REPORT </w:t>
      </w:r>
    </w:p>
    <w:p w14:paraId="43788482" w14:textId="77777777" w:rsidR="000C047C" w:rsidRPr="000A2C03" w:rsidRDefault="000C047C" w:rsidP="000C047C">
      <w:pPr>
        <w:pStyle w:val="paragraph"/>
        <w:spacing w:before="0" w:beforeAutospacing="0" w:after="0" w:afterAutospacing="0"/>
        <w:jc w:val="both"/>
        <w:textAlignment w:val="baseline"/>
        <w:rPr>
          <w:rFonts w:ascii="Cambria" w:hAnsi="Cambria"/>
          <w:b/>
          <w:bCs/>
          <w:sz w:val="20"/>
          <w:szCs w:val="20"/>
        </w:rPr>
      </w:pPr>
    </w:p>
    <w:p w14:paraId="01803B35" w14:textId="1104BAFE" w:rsidR="000C047C" w:rsidRDefault="000C047C" w:rsidP="000C047C">
      <w:pPr>
        <w:ind w:left="709" w:right="713"/>
        <w:jc w:val="both"/>
        <w:rPr>
          <w:rFonts w:ascii="Cambria" w:hAnsi="Cambria"/>
          <w:sz w:val="20"/>
          <w:szCs w:val="20"/>
        </w:rPr>
      </w:pPr>
      <w:r>
        <w:rPr>
          <w:rFonts w:ascii="Cambria" w:hAnsi="Cambria"/>
          <w:sz w:val="20"/>
        </w:rPr>
        <w:t xml:space="preserve">The Colombian State shall publish the </w:t>
      </w:r>
      <w:r w:rsidR="00DF5618">
        <w:rPr>
          <w:rFonts w:ascii="Cambria" w:hAnsi="Cambria"/>
          <w:sz w:val="20"/>
        </w:rPr>
        <w:t xml:space="preserve">relevant </w:t>
      </w:r>
      <w:r>
        <w:rPr>
          <w:rFonts w:ascii="Cambria" w:hAnsi="Cambria"/>
          <w:sz w:val="20"/>
        </w:rPr>
        <w:t xml:space="preserve">sections of the friendly settlement report, once it </w:t>
      </w:r>
      <w:r w:rsidR="00DF5618">
        <w:rPr>
          <w:rFonts w:ascii="Cambria" w:hAnsi="Cambria"/>
          <w:sz w:val="20"/>
        </w:rPr>
        <w:t xml:space="preserve">is </w:t>
      </w:r>
      <w:r>
        <w:rPr>
          <w:rFonts w:ascii="Cambria" w:hAnsi="Cambria"/>
          <w:sz w:val="20"/>
        </w:rPr>
        <w:t xml:space="preserve">approved by the Inter-American Commission, on the </w:t>
      </w:r>
      <w:r w:rsidR="00DF5618">
        <w:rPr>
          <w:rFonts w:ascii="Cambria" w:hAnsi="Cambria"/>
          <w:sz w:val="20"/>
        </w:rPr>
        <w:t xml:space="preserve">website </w:t>
      </w:r>
      <w:r>
        <w:rPr>
          <w:rFonts w:ascii="Cambria" w:hAnsi="Cambria"/>
          <w:sz w:val="20"/>
        </w:rPr>
        <w:t>of the National Agency for the Legal Defense of the State, for a period of six (6) months.</w:t>
      </w:r>
    </w:p>
    <w:p w14:paraId="2F6C1AC6" w14:textId="77777777" w:rsidR="000C047C" w:rsidRPr="005913D6" w:rsidRDefault="000C047C" w:rsidP="000C047C">
      <w:pPr>
        <w:pStyle w:val="paragraph"/>
        <w:spacing w:before="0" w:beforeAutospacing="0" w:after="0" w:afterAutospacing="0"/>
        <w:jc w:val="both"/>
        <w:textAlignment w:val="baseline"/>
        <w:rPr>
          <w:rFonts w:ascii="Cambria" w:hAnsi="Cambria"/>
          <w:sz w:val="20"/>
          <w:szCs w:val="20"/>
        </w:rPr>
      </w:pPr>
    </w:p>
    <w:p w14:paraId="614BF273" w14:textId="51F1F84A" w:rsidR="000C047C" w:rsidRPr="005913D6" w:rsidRDefault="00DF5618" w:rsidP="000C047C">
      <w:pPr>
        <w:ind w:left="709" w:right="713"/>
        <w:jc w:val="both"/>
        <w:rPr>
          <w:rFonts w:ascii="Cambria" w:hAnsi="Cambria"/>
          <w:b/>
          <w:bCs/>
          <w:sz w:val="20"/>
          <w:szCs w:val="20"/>
        </w:rPr>
      </w:pPr>
      <w:r>
        <w:rPr>
          <w:rFonts w:ascii="Cambria" w:hAnsi="Cambria"/>
          <w:b/>
          <w:sz w:val="20"/>
        </w:rPr>
        <w:t xml:space="preserve">PART </w:t>
      </w:r>
      <w:r w:rsidR="000C047C">
        <w:rPr>
          <w:rFonts w:ascii="Cambria" w:hAnsi="Cambria"/>
          <w:b/>
          <w:sz w:val="20"/>
        </w:rPr>
        <w:t>TEN: CONFIDENTIALITY</w:t>
      </w:r>
    </w:p>
    <w:p w14:paraId="39A106EC" w14:textId="77777777" w:rsidR="000C047C" w:rsidRDefault="000C047C" w:rsidP="000C047C">
      <w:pPr>
        <w:pStyle w:val="paragraph"/>
        <w:spacing w:before="0" w:beforeAutospacing="0" w:after="0" w:afterAutospacing="0"/>
        <w:jc w:val="both"/>
        <w:textAlignment w:val="baseline"/>
        <w:rPr>
          <w:rFonts w:ascii="Cambria" w:hAnsi="Cambria"/>
          <w:sz w:val="20"/>
        </w:rPr>
      </w:pPr>
    </w:p>
    <w:p w14:paraId="7193657F" w14:textId="7D866BB3" w:rsidR="000C047C" w:rsidRPr="005913D6" w:rsidRDefault="000C047C" w:rsidP="000C047C">
      <w:pPr>
        <w:ind w:left="709" w:right="713"/>
        <w:jc w:val="both"/>
        <w:rPr>
          <w:rFonts w:ascii="Cambria" w:hAnsi="Cambria"/>
          <w:sz w:val="20"/>
          <w:szCs w:val="20"/>
        </w:rPr>
      </w:pPr>
      <w:r>
        <w:rPr>
          <w:rFonts w:ascii="Cambria" w:hAnsi="Cambria"/>
          <w:sz w:val="20"/>
        </w:rPr>
        <w:t>The content of this Friendly Settlement Agreement is confidential and may not be published or dis</w:t>
      </w:r>
      <w:r w:rsidR="00D95464">
        <w:rPr>
          <w:rFonts w:ascii="Cambria" w:hAnsi="Cambria"/>
          <w:sz w:val="20"/>
        </w:rPr>
        <w:t xml:space="preserve">tributed </w:t>
      </w:r>
      <w:r>
        <w:rPr>
          <w:rFonts w:ascii="Cambria" w:hAnsi="Cambria"/>
          <w:sz w:val="20"/>
        </w:rPr>
        <w:t>by any media or means of communication until it is approved by the Inter-American Commission on Human Rights through the issuance of the Report referred to in Article 49 of the American Convention on Human Rights.</w:t>
      </w:r>
    </w:p>
    <w:p w14:paraId="3EA9AA34" w14:textId="77777777" w:rsidR="000C047C" w:rsidRPr="000A2C03" w:rsidRDefault="000C047C" w:rsidP="000C047C">
      <w:pPr>
        <w:pStyle w:val="paragraph"/>
        <w:spacing w:before="0" w:beforeAutospacing="0" w:after="0" w:afterAutospacing="0"/>
        <w:jc w:val="both"/>
        <w:textAlignment w:val="baseline"/>
        <w:rPr>
          <w:rFonts w:ascii="Cambria" w:hAnsi="Cambria"/>
          <w:b/>
          <w:bCs/>
          <w:sz w:val="20"/>
          <w:szCs w:val="20"/>
        </w:rPr>
      </w:pPr>
    </w:p>
    <w:p w14:paraId="0DF36A7B" w14:textId="034814A3" w:rsidR="000C047C" w:rsidRDefault="001A1019" w:rsidP="000C047C">
      <w:pPr>
        <w:ind w:left="709" w:right="713"/>
        <w:jc w:val="both"/>
        <w:rPr>
          <w:rFonts w:ascii="Cambria" w:hAnsi="Cambria"/>
          <w:b/>
          <w:bCs/>
          <w:sz w:val="20"/>
          <w:szCs w:val="20"/>
        </w:rPr>
      </w:pPr>
      <w:r>
        <w:rPr>
          <w:rFonts w:ascii="Cambria" w:hAnsi="Cambria"/>
          <w:b/>
          <w:sz w:val="20"/>
        </w:rPr>
        <w:t xml:space="preserve">PART </w:t>
      </w:r>
      <w:r w:rsidR="000C047C">
        <w:rPr>
          <w:rFonts w:ascii="Cambria" w:hAnsi="Cambria"/>
          <w:b/>
          <w:sz w:val="20"/>
        </w:rPr>
        <w:t>ELEVEN</w:t>
      </w:r>
      <w:r w:rsidR="00242E07">
        <w:rPr>
          <w:rFonts w:ascii="Cambria" w:hAnsi="Cambria"/>
          <w:b/>
          <w:sz w:val="20"/>
        </w:rPr>
        <w:t>:</w:t>
      </w:r>
      <w:r w:rsidR="000C047C" w:rsidRPr="00F761BB">
        <w:rPr>
          <w:rStyle w:val="FootnoteReference"/>
          <w:rFonts w:ascii="Cambria" w:hAnsi="Cambria"/>
          <w:sz w:val="20"/>
          <w:szCs w:val="20"/>
          <w:lang w:val="es-AR"/>
        </w:rPr>
        <w:footnoteReference w:id="9"/>
      </w:r>
      <w:r w:rsidR="000C047C">
        <w:rPr>
          <w:rFonts w:ascii="Cambria" w:hAnsi="Cambria"/>
          <w:b/>
          <w:sz w:val="20"/>
        </w:rPr>
        <w:t xml:space="preserve"> APPROVAL AND FOLLOW-UP</w:t>
      </w:r>
    </w:p>
    <w:p w14:paraId="4E489F23" w14:textId="77777777" w:rsidR="000C047C" w:rsidRPr="000A2C03" w:rsidRDefault="000C047C" w:rsidP="000C047C">
      <w:pPr>
        <w:pStyle w:val="paragraph"/>
        <w:spacing w:before="0" w:beforeAutospacing="0" w:after="0" w:afterAutospacing="0"/>
        <w:jc w:val="both"/>
        <w:textAlignment w:val="baseline"/>
        <w:rPr>
          <w:rFonts w:ascii="Cambria" w:hAnsi="Cambria"/>
          <w:b/>
          <w:bCs/>
          <w:sz w:val="20"/>
          <w:szCs w:val="20"/>
        </w:rPr>
      </w:pPr>
    </w:p>
    <w:p w14:paraId="530DF33B" w14:textId="40744EB6" w:rsidR="000C047C" w:rsidRDefault="000C047C" w:rsidP="000C047C">
      <w:pPr>
        <w:ind w:left="709" w:right="713"/>
        <w:jc w:val="both"/>
        <w:rPr>
          <w:rFonts w:ascii="Cambria" w:hAnsi="Cambria"/>
          <w:sz w:val="20"/>
          <w:szCs w:val="20"/>
        </w:rPr>
      </w:pPr>
      <w:r>
        <w:rPr>
          <w:rFonts w:ascii="Cambria" w:hAnsi="Cambria"/>
          <w:sz w:val="20"/>
        </w:rPr>
        <w:t xml:space="preserve">The parties </w:t>
      </w:r>
      <w:r w:rsidR="00EE3E73">
        <w:rPr>
          <w:rFonts w:ascii="Cambria" w:hAnsi="Cambria"/>
          <w:sz w:val="20"/>
        </w:rPr>
        <w:t>ask</w:t>
      </w:r>
      <w:r w:rsidR="00CC69DC">
        <w:rPr>
          <w:rFonts w:ascii="Cambria" w:hAnsi="Cambria"/>
          <w:sz w:val="20"/>
        </w:rPr>
        <w:t xml:space="preserve"> </w:t>
      </w:r>
      <w:r>
        <w:rPr>
          <w:rFonts w:ascii="Cambria" w:hAnsi="Cambria"/>
          <w:sz w:val="20"/>
        </w:rPr>
        <w:t>the Inter-American Commission t</w:t>
      </w:r>
      <w:r w:rsidR="00D242C3">
        <w:rPr>
          <w:rFonts w:ascii="Cambria" w:hAnsi="Cambria"/>
          <w:sz w:val="20"/>
        </w:rPr>
        <w:t xml:space="preserve">he approval of this </w:t>
      </w:r>
      <w:r w:rsidR="00662B4D">
        <w:rPr>
          <w:rFonts w:ascii="Cambria" w:hAnsi="Cambria"/>
          <w:sz w:val="20"/>
        </w:rPr>
        <w:t>agreement and its follow</w:t>
      </w:r>
      <w:r w:rsidR="002E77F2">
        <w:rPr>
          <w:rFonts w:ascii="Cambria" w:hAnsi="Cambria"/>
          <w:sz w:val="20"/>
        </w:rPr>
        <w:t>-</w:t>
      </w:r>
      <w:r w:rsidR="00662B4D">
        <w:rPr>
          <w:rFonts w:ascii="Cambria" w:hAnsi="Cambria"/>
          <w:sz w:val="20"/>
        </w:rPr>
        <w:t>up</w:t>
      </w:r>
      <w:r>
        <w:rPr>
          <w:rFonts w:ascii="Cambria" w:hAnsi="Cambria"/>
          <w:sz w:val="20"/>
        </w:rPr>
        <w:t xml:space="preserve">. </w:t>
      </w:r>
    </w:p>
    <w:p w14:paraId="5938FF64" w14:textId="77777777" w:rsidR="000C047C" w:rsidRPr="000A2C03" w:rsidRDefault="000C047C" w:rsidP="000C047C">
      <w:pPr>
        <w:pStyle w:val="paragraph"/>
        <w:spacing w:before="0" w:beforeAutospacing="0" w:after="0" w:afterAutospacing="0"/>
        <w:jc w:val="both"/>
        <w:textAlignment w:val="baseline"/>
        <w:rPr>
          <w:rFonts w:ascii="Cambria" w:hAnsi="Cambria"/>
          <w:sz w:val="20"/>
          <w:szCs w:val="20"/>
        </w:rPr>
      </w:pPr>
    </w:p>
    <w:p w14:paraId="7AAA7AD0" w14:textId="77777777" w:rsidR="000C047C" w:rsidRDefault="000C047C" w:rsidP="000C047C">
      <w:pPr>
        <w:ind w:left="709" w:right="713"/>
        <w:jc w:val="both"/>
        <w:rPr>
          <w:rFonts w:ascii="Cambria" w:hAnsi="Cambria"/>
          <w:sz w:val="20"/>
          <w:szCs w:val="20"/>
        </w:rPr>
      </w:pPr>
      <w:r>
        <w:rPr>
          <w:rFonts w:ascii="Cambria" w:hAnsi="Cambria"/>
          <w:sz w:val="20"/>
        </w:rPr>
        <w:t>Having been read, and the parties being aware of its scope and legal content, this Agreement is signed on September 26, 2023.</w:t>
      </w:r>
    </w:p>
    <w:p w14:paraId="0D6FB8C1" w14:textId="77777777" w:rsidR="00DA37B6" w:rsidRPr="000C047C" w:rsidRDefault="00DA37B6" w:rsidP="000C047C">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cstheme="minorHAnsi"/>
          <w:b/>
          <w:color w:val="000000" w:themeColor="text1"/>
          <w:sz w:val="20"/>
          <w:szCs w:val="20"/>
        </w:rPr>
      </w:pPr>
    </w:p>
    <w:p w14:paraId="120F7E30" w14:textId="77777777" w:rsidR="002A65AC" w:rsidRPr="00352D58" w:rsidRDefault="00FA675D" w:rsidP="007E04A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352D58">
        <w:rPr>
          <w:rFonts w:eastAsia="MS Mincho" w:cstheme="minorHAnsi"/>
          <w:b/>
          <w:color w:val="000000" w:themeColor="text1"/>
          <w:sz w:val="20"/>
          <w:szCs w:val="20"/>
        </w:rPr>
        <w:t xml:space="preserve">DETERMINATION OF COMPATIBILITY AND COMPLIANCE </w:t>
      </w:r>
    </w:p>
    <w:p w14:paraId="7768A225" w14:textId="77777777" w:rsidR="002A65AC" w:rsidRPr="00352D58"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0B3858F9" w:rsidR="00805112" w:rsidRPr="00352D58" w:rsidRDefault="00805112" w:rsidP="007E04AC">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352D58">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352D58">
        <w:rPr>
          <w:rFonts w:asciiTheme="majorHAnsi" w:hAnsiTheme="majorHAnsi"/>
          <w:i/>
          <w:iCs/>
          <w:sz w:val="20"/>
          <w:szCs w:val="20"/>
          <w:bdr w:val="none" w:sz="0" w:space="0" w:color="auto" w:frame="1"/>
          <w:lang w:val="en"/>
        </w:rPr>
        <w:t>pacta sunt servanda</w:t>
      </w:r>
      <w:r w:rsidRPr="00352D58">
        <w:rPr>
          <w:rFonts w:asciiTheme="majorHAnsi" w:hAnsiTheme="majorHAnsi"/>
          <w:sz w:val="20"/>
          <w:szCs w:val="20"/>
          <w:bdr w:val="none" w:sz="0" w:space="0" w:color="auto" w:frame="1"/>
          <w:lang w:val="en"/>
        </w:rPr>
        <w:t>, by which States must comply with the obligations assumed in the treaties in good faith.</w:t>
      </w:r>
      <w:r w:rsidRPr="00352D58">
        <w:rPr>
          <w:sz w:val="20"/>
          <w:szCs w:val="20"/>
          <w:bdr w:val="none" w:sz="0" w:space="0" w:color="auto" w:frame="1"/>
          <w:vertAlign w:val="superscript"/>
          <w:lang w:val="en"/>
        </w:rPr>
        <w:footnoteReference w:id="10"/>
      </w:r>
      <w:r w:rsidRPr="00352D58">
        <w:rPr>
          <w:rFonts w:asciiTheme="majorHAnsi" w:hAnsiTheme="majorHAnsi"/>
          <w:sz w:val="20"/>
          <w:szCs w:val="20"/>
          <w:bdr w:val="none" w:sz="0" w:space="0" w:color="auto" w:frame="1"/>
          <w:lang w:val="en"/>
        </w:rPr>
        <w:t xml:space="preserve"> </w:t>
      </w:r>
      <w:r w:rsidRPr="00352D58">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42153D1" w14:textId="11443E1F" w:rsidR="002A65AC"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198D1E07" w14:textId="341320B8" w:rsidR="00D046E8" w:rsidRPr="008E0E87" w:rsidRDefault="00D046E8" w:rsidP="00D046E8">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Pr>
          <w:rStyle w:val="normaltextrun"/>
          <w:rFonts w:ascii="Cambria" w:hAnsi="Cambria"/>
          <w:color w:val="000000"/>
          <w:sz w:val="20"/>
        </w:rPr>
        <w:t xml:space="preserve">The Inter-American Commission has closely </w:t>
      </w:r>
      <w:r w:rsidR="000631CA">
        <w:rPr>
          <w:rStyle w:val="normaltextrun"/>
          <w:rFonts w:ascii="Cambria" w:hAnsi="Cambria"/>
          <w:color w:val="000000"/>
          <w:sz w:val="20"/>
        </w:rPr>
        <w:t xml:space="preserve">followed </w:t>
      </w:r>
      <w:r>
        <w:rPr>
          <w:rStyle w:val="normaltextrun"/>
          <w:rFonts w:ascii="Cambria" w:hAnsi="Cambria"/>
          <w:color w:val="000000"/>
          <w:sz w:val="20"/>
        </w:rPr>
        <w:t>the progress of the friendly settlement reached in th</w:t>
      </w:r>
      <w:r w:rsidR="000631CA">
        <w:rPr>
          <w:rStyle w:val="normaltextrun"/>
          <w:rFonts w:ascii="Cambria" w:hAnsi="Cambria"/>
          <w:color w:val="000000"/>
          <w:sz w:val="20"/>
        </w:rPr>
        <w:t xml:space="preserve">is </w:t>
      </w:r>
      <w:r>
        <w:rPr>
          <w:rStyle w:val="normaltextrun"/>
          <w:rFonts w:ascii="Cambria" w:hAnsi="Cambria"/>
          <w:color w:val="000000"/>
          <w:sz w:val="20"/>
        </w:rPr>
        <w:t xml:space="preserve">case and </w:t>
      </w:r>
      <w:r w:rsidR="00312D08">
        <w:rPr>
          <w:rStyle w:val="normaltextrun"/>
          <w:rFonts w:ascii="Cambria" w:hAnsi="Cambria"/>
          <w:color w:val="000000"/>
          <w:sz w:val="20"/>
        </w:rPr>
        <w:t>values</w:t>
      </w:r>
      <w:r>
        <w:rPr>
          <w:rStyle w:val="normaltextrun"/>
          <w:rFonts w:ascii="Cambria" w:hAnsi="Cambria"/>
          <w:color w:val="000000"/>
          <w:sz w:val="20"/>
        </w:rPr>
        <w:t xml:space="preserve"> the efforts made by both parties during </w:t>
      </w:r>
      <w:r w:rsidR="00A45743">
        <w:rPr>
          <w:rStyle w:val="normaltextrun"/>
          <w:rFonts w:ascii="Cambria" w:hAnsi="Cambria"/>
          <w:color w:val="000000"/>
          <w:sz w:val="20"/>
        </w:rPr>
        <w:t xml:space="preserve">the </w:t>
      </w:r>
      <w:r>
        <w:rPr>
          <w:rStyle w:val="normaltextrun"/>
          <w:rFonts w:ascii="Cambria" w:hAnsi="Cambria"/>
          <w:color w:val="000000"/>
          <w:sz w:val="20"/>
        </w:rPr>
        <w:t>negotiatio</w:t>
      </w:r>
      <w:r w:rsidR="00A45743">
        <w:rPr>
          <w:rStyle w:val="normaltextrun"/>
          <w:rFonts w:ascii="Cambria" w:hAnsi="Cambria"/>
          <w:color w:val="000000"/>
          <w:sz w:val="20"/>
        </w:rPr>
        <w:t xml:space="preserve">n </w:t>
      </w:r>
      <w:r>
        <w:rPr>
          <w:rStyle w:val="normaltextrun"/>
          <w:rFonts w:ascii="Cambria" w:hAnsi="Cambria"/>
          <w:color w:val="000000"/>
          <w:sz w:val="20"/>
        </w:rPr>
        <w:t>to reach this friendly settlement, which is compatible with the object and purpose of the Convention.</w:t>
      </w:r>
    </w:p>
    <w:p w14:paraId="6C9F315D" w14:textId="77777777" w:rsidR="00D046E8" w:rsidRPr="000A2C03" w:rsidRDefault="00D046E8" w:rsidP="00D046E8">
      <w:pPr>
        <w:pStyle w:val="paragraph"/>
        <w:spacing w:before="0" w:beforeAutospacing="0" w:after="0" w:afterAutospacing="0"/>
        <w:jc w:val="both"/>
        <w:textAlignment w:val="baseline"/>
        <w:rPr>
          <w:rStyle w:val="normaltextrun"/>
          <w:rFonts w:ascii="Cambria" w:hAnsi="Cambria" w:cs="Segoe UI"/>
          <w:color w:val="000000"/>
          <w:sz w:val="20"/>
          <w:szCs w:val="20"/>
        </w:rPr>
      </w:pPr>
    </w:p>
    <w:p w14:paraId="3235BC77" w14:textId="281C0104" w:rsidR="00D046E8" w:rsidRPr="008E0E87" w:rsidRDefault="00D046E8" w:rsidP="00D046E8">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lastRenderedPageBreak/>
        <w:t xml:space="preserve">In accordance with the clause </w:t>
      </w:r>
      <w:r w:rsidR="003E6263">
        <w:rPr>
          <w:rFonts w:ascii="Cambria" w:hAnsi="Cambria"/>
          <w:sz w:val="20"/>
        </w:rPr>
        <w:t xml:space="preserve">eleven </w:t>
      </w:r>
      <w:r>
        <w:rPr>
          <w:rFonts w:ascii="Cambria" w:hAnsi="Cambria"/>
          <w:sz w:val="20"/>
        </w:rPr>
        <w:t xml:space="preserve">of the agreement signed by the parties, </w:t>
      </w:r>
      <w:r w:rsidR="006F54E7">
        <w:rPr>
          <w:rFonts w:ascii="Cambria" w:hAnsi="Cambria"/>
          <w:sz w:val="20"/>
        </w:rPr>
        <w:t xml:space="preserve">whereby </w:t>
      </w:r>
      <w:r>
        <w:rPr>
          <w:rFonts w:ascii="Cambria" w:hAnsi="Cambria"/>
          <w:sz w:val="20"/>
        </w:rPr>
        <w:t xml:space="preserve">they requested the Commission to approve the friendly settlement agreement </w:t>
      </w:r>
      <w:r w:rsidR="009249EF">
        <w:rPr>
          <w:rFonts w:ascii="Cambria" w:hAnsi="Cambria"/>
          <w:sz w:val="20"/>
        </w:rPr>
        <w:t xml:space="preserve">pursuant to </w:t>
      </w:r>
      <w:r>
        <w:rPr>
          <w:rFonts w:ascii="Cambria" w:hAnsi="Cambria"/>
          <w:sz w:val="20"/>
        </w:rPr>
        <w:t xml:space="preserve">Article 49 of the American Convention, and taking into consideration the joint request </w:t>
      </w:r>
      <w:r w:rsidR="00806805">
        <w:rPr>
          <w:rFonts w:ascii="Cambria" w:hAnsi="Cambria"/>
          <w:sz w:val="20"/>
        </w:rPr>
        <w:t xml:space="preserve">by the parties </w:t>
      </w:r>
      <w:r>
        <w:rPr>
          <w:rFonts w:ascii="Cambria" w:hAnsi="Cambria"/>
          <w:sz w:val="20"/>
        </w:rPr>
        <w:t>of December 6</w:t>
      </w:r>
      <w:r w:rsidR="008311CA">
        <w:rPr>
          <w:rFonts w:ascii="Cambria" w:hAnsi="Cambria"/>
          <w:sz w:val="20"/>
        </w:rPr>
        <w:t>,</w:t>
      </w:r>
      <w:r>
        <w:rPr>
          <w:rFonts w:ascii="Cambria" w:hAnsi="Cambria"/>
          <w:sz w:val="20"/>
        </w:rPr>
        <w:t xml:space="preserve"> 2023 to move forward in this </w:t>
      </w:r>
      <w:r w:rsidR="008311CA">
        <w:rPr>
          <w:rFonts w:ascii="Cambria" w:hAnsi="Cambria"/>
          <w:sz w:val="20"/>
        </w:rPr>
        <w:t>regard</w:t>
      </w:r>
      <w:r>
        <w:rPr>
          <w:rFonts w:ascii="Cambria" w:hAnsi="Cambria"/>
          <w:sz w:val="20"/>
        </w:rPr>
        <w:t>, it is appropriate at this time to assess compliance with the commitments set forth therein.</w:t>
      </w:r>
    </w:p>
    <w:p w14:paraId="528BE87D" w14:textId="77777777" w:rsidR="00D046E8" w:rsidRPr="000A2C03" w:rsidRDefault="00D046E8" w:rsidP="00D046E8">
      <w:pPr>
        <w:pStyle w:val="paragraph"/>
        <w:spacing w:before="0" w:beforeAutospacing="0" w:after="0" w:afterAutospacing="0"/>
        <w:jc w:val="both"/>
        <w:textAlignment w:val="baseline"/>
        <w:rPr>
          <w:rFonts w:ascii="Cambria" w:hAnsi="Cambria" w:cs="Segoe UI"/>
          <w:sz w:val="20"/>
          <w:szCs w:val="20"/>
        </w:rPr>
      </w:pPr>
    </w:p>
    <w:p w14:paraId="5C62D348" w14:textId="06BC121C" w:rsidR="00D046E8" w:rsidRPr="005913D6" w:rsidRDefault="00D046E8" w:rsidP="00D046E8">
      <w:pPr>
        <w:pStyle w:val="paragraph"/>
        <w:numPr>
          <w:ilvl w:val="0"/>
          <w:numId w:val="58"/>
        </w:numPr>
        <w:spacing w:before="0" w:beforeAutospacing="0" w:after="0" w:afterAutospacing="0"/>
        <w:ind w:left="0" w:firstLine="720"/>
        <w:jc w:val="both"/>
        <w:rPr>
          <w:rFonts w:ascii="Cambria" w:hAnsi="Cambria" w:cs="Segoe UI"/>
          <w:color w:val="000000"/>
          <w:sz w:val="20"/>
          <w:szCs w:val="20"/>
        </w:rPr>
      </w:pPr>
      <w:r>
        <w:rPr>
          <w:rFonts w:ascii="Cambria" w:hAnsi="Cambria"/>
          <w:sz w:val="20"/>
        </w:rPr>
        <w:t>The Inter-American Commission considers that clauses one (Definitions), two (Preliminary consideration</w:t>
      </w:r>
      <w:r w:rsidR="003E6263">
        <w:rPr>
          <w:rFonts w:ascii="Cambria" w:hAnsi="Cambria"/>
          <w:sz w:val="20"/>
        </w:rPr>
        <w:t>s</w:t>
      </w:r>
      <w:r>
        <w:rPr>
          <w:rFonts w:ascii="Cambria" w:hAnsi="Cambria"/>
          <w:sz w:val="20"/>
        </w:rPr>
        <w:t xml:space="preserve">), three (Beneficiaries), four (Acknowledgment of Responsibility), and ten (Confidentiality) of the </w:t>
      </w:r>
      <w:r w:rsidR="00F06762">
        <w:rPr>
          <w:rFonts w:ascii="Cambria" w:hAnsi="Cambria"/>
          <w:sz w:val="20"/>
        </w:rPr>
        <w:t>a</w:t>
      </w:r>
      <w:r>
        <w:rPr>
          <w:rFonts w:ascii="Cambria" w:hAnsi="Cambria"/>
          <w:sz w:val="20"/>
        </w:rPr>
        <w:t>greement are of a declarative nature</w:t>
      </w:r>
      <w:r w:rsidR="0003554D">
        <w:rPr>
          <w:rFonts w:ascii="Cambria" w:hAnsi="Cambria"/>
          <w:sz w:val="20"/>
        </w:rPr>
        <w:t>. Therefore</w:t>
      </w:r>
      <w:r w:rsidR="007407BC">
        <w:rPr>
          <w:rFonts w:ascii="Cambria" w:hAnsi="Cambria"/>
          <w:sz w:val="20"/>
        </w:rPr>
        <w:t xml:space="preserve">, </w:t>
      </w:r>
      <w:r w:rsidR="00166429">
        <w:rPr>
          <w:rFonts w:ascii="Cambria" w:hAnsi="Cambria"/>
          <w:sz w:val="20"/>
        </w:rPr>
        <w:t xml:space="preserve">there is no need </w:t>
      </w:r>
      <w:r w:rsidR="00235E0E">
        <w:rPr>
          <w:rFonts w:ascii="Cambria" w:hAnsi="Cambria"/>
          <w:sz w:val="20"/>
        </w:rPr>
        <w:t xml:space="preserve">to supervise </w:t>
      </w:r>
      <w:r w:rsidR="007407BC">
        <w:rPr>
          <w:rFonts w:ascii="Cambria" w:hAnsi="Cambria"/>
          <w:sz w:val="20"/>
        </w:rPr>
        <w:t>compliance</w:t>
      </w:r>
      <w:r w:rsidR="008840E5">
        <w:rPr>
          <w:rFonts w:ascii="Cambria" w:hAnsi="Cambria"/>
          <w:sz w:val="20"/>
        </w:rPr>
        <w:t xml:space="preserve"> with these terms</w:t>
      </w:r>
      <w:r>
        <w:rPr>
          <w:rFonts w:ascii="Cambria" w:hAnsi="Cambria"/>
          <w:sz w:val="20"/>
        </w:rPr>
        <w:t xml:space="preserve">. In this regard, the Commission </w:t>
      </w:r>
      <w:r w:rsidR="00632B97">
        <w:rPr>
          <w:rFonts w:ascii="Cambria" w:hAnsi="Cambria"/>
          <w:sz w:val="20"/>
        </w:rPr>
        <w:t xml:space="preserve">values </w:t>
      </w:r>
      <w:r w:rsidR="00235E0E">
        <w:rPr>
          <w:rFonts w:ascii="Cambria" w:hAnsi="Cambria"/>
          <w:sz w:val="20"/>
        </w:rPr>
        <w:t>clause four</w:t>
      </w:r>
      <w:r>
        <w:rPr>
          <w:rFonts w:ascii="Cambria" w:hAnsi="Cambria"/>
          <w:sz w:val="20"/>
        </w:rPr>
        <w:t xml:space="preserve">, in which the Colombian State recognizes its international responsibility for the failure to guarantee the right to life, contained in Article 4(1) of the American Convention, in </w:t>
      </w:r>
      <w:r w:rsidR="000F63C0">
        <w:rPr>
          <w:rFonts w:ascii="Cambria" w:hAnsi="Cambria"/>
          <w:sz w:val="20"/>
        </w:rPr>
        <w:t xml:space="preserve">connection </w:t>
      </w:r>
      <w:r>
        <w:rPr>
          <w:rFonts w:ascii="Cambria" w:hAnsi="Cambria"/>
          <w:sz w:val="20"/>
        </w:rPr>
        <w:t xml:space="preserve">to Articles 1(1), 8, and 25 of the same instrument, to the detriment of Denys del Carmen Olivera, Juan José Montes Balasnoa, and Piedad Montes Olivera. It also values the State's recognition of its international responsibility for failing to provide guarantees to prevent violation of the right to humane treatment (Article 5(1)), </w:t>
      </w:r>
      <w:r w:rsidR="0005680B">
        <w:rPr>
          <w:rFonts w:ascii="Cambria" w:hAnsi="Cambria"/>
          <w:sz w:val="20"/>
        </w:rPr>
        <w:t xml:space="preserve">fair trial </w:t>
      </w:r>
      <w:r>
        <w:rPr>
          <w:rFonts w:ascii="Cambria" w:hAnsi="Cambria"/>
          <w:sz w:val="20"/>
        </w:rPr>
        <w:t xml:space="preserve">(Article 8(1)), and judicial protection (Article 25(1)), established in the American Convention, in </w:t>
      </w:r>
      <w:r w:rsidR="000F63C0">
        <w:rPr>
          <w:rFonts w:ascii="Cambria" w:hAnsi="Cambria"/>
          <w:sz w:val="20"/>
        </w:rPr>
        <w:t xml:space="preserve">connection </w:t>
      </w:r>
      <w:r>
        <w:rPr>
          <w:rFonts w:ascii="Cambria" w:hAnsi="Cambria"/>
          <w:sz w:val="20"/>
        </w:rPr>
        <w:t xml:space="preserve">to Article 1(1) of the same instrument, to the detriment of the </w:t>
      </w:r>
      <w:r w:rsidR="000F63C0">
        <w:rPr>
          <w:rFonts w:ascii="Cambria" w:hAnsi="Cambria"/>
          <w:sz w:val="20"/>
        </w:rPr>
        <w:t xml:space="preserve">family </w:t>
      </w:r>
      <w:r>
        <w:rPr>
          <w:rFonts w:ascii="Cambria" w:hAnsi="Cambria"/>
          <w:sz w:val="20"/>
        </w:rPr>
        <w:t>of Denys del Carmen Olivera de Montes, Juan José Montes Balasnoa, and Piedad Montes Olivera.</w:t>
      </w:r>
    </w:p>
    <w:p w14:paraId="5650631F" w14:textId="77777777" w:rsidR="00D046E8" w:rsidRPr="000A2C03" w:rsidRDefault="00D046E8" w:rsidP="00D046E8">
      <w:pPr>
        <w:pStyle w:val="paragraph"/>
        <w:spacing w:before="0" w:beforeAutospacing="0" w:after="0" w:afterAutospacing="0"/>
        <w:jc w:val="both"/>
        <w:textAlignment w:val="baseline"/>
        <w:rPr>
          <w:rFonts w:ascii="Cambria" w:hAnsi="Cambria" w:cs="Segoe UI"/>
          <w:sz w:val="20"/>
          <w:szCs w:val="20"/>
        </w:rPr>
      </w:pPr>
    </w:p>
    <w:p w14:paraId="64F780AA" w14:textId="1C48052D" w:rsidR="00D046E8" w:rsidRPr="00573CFC" w:rsidRDefault="00A365C2" w:rsidP="00D046E8">
      <w:pPr>
        <w:pStyle w:val="paragraph"/>
        <w:numPr>
          <w:ilvl w:val="0"/>
          <w:numId w:val="58"/>
        </w:numPr>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t xml:space="preserve">With respect to </w:t>
      </w:r>
      <w:r w:rsidR="008C68B3">
        <w:rPr>
          <w:rFonts w:ascii="Cambria" w:hAnsi="Cambria"/>
          <w:sz w:val="20"/>
        </w:rPr>
        <w:t xml:space="preserve">section </w:t>
      </w:r>
      <w:r w:rsidR="00D046E8">
        <w:rPr>
          <w:rFonts w:ascii="Cambria" w:hAnsi="Cambria"/>
          <w:sz w:val="20"/>
        </w:rPr>
        <w:t>I of</w:t>
      </w:r>
      <w:r w:rsidR="000B01A7">
        <w:rPr>
          <w:rFonts w:ascii="Cambria" w:hAnsi="Cambria"/>
          <w:sz w:val="20"/>
        </w:rPr>
        <w:t xml:space="preserve"> clause five</w:t>
      </w:r>
      <w:r w:rsidR="00D046E8">
        <w:rPr>
          <w:rFonts w:ascii="Cambria" w:hAnsi="Cambria"/>
          <w:sz w:val="20"/>
        </w:rPr>
        <w:t xml:space="preserve">, </w:t>
      </w:r>
      <w:r w:rsidR="00877556">
        <w:rPr>
          <w:rFonts w:ascii="Cambria" w:hAnsi="Cambria"/>
          <w:sz w:val="20"/>
        </w:rPr>
        <w:t xml:space="preserve">concerning </w:t>
      </w:r>
      <w:r w:rsidR="00D046E8">
        <w:rPr>
          <w:rFonts w:ascii="Cambria" w:hAnsi="Cambria"/>
          <w:sz w:val="20"/>
        </w:rPr>
        <w:t xml:space="preserve">the </w:t>
      </w:r>
      <w:r w:rsidR="00877556">
        <w:rPr>
          <w:rFonts w:ascii="Cambria" w:hAnsi="Cambria"/>
          <w:sz w:val="20"/>
        </w:rPr>
        <w:t xml:space="preserve">holding </w:t>
      </w:r>
      <w:r w:rsidR="00D046E8">
        <w:rPr>
          <w:rFonts w:ascii="Cambria" w:hAnsi="Cambria"/>
          <w:sz w:val="20"/>
        </w:rPr>
        <w:t>of a</w:t>
      </w:r>
      <w:r w:rsidR="00877556">
        <w:rPr>
          <w:rFonts w:ascii="Cambria" w:hAnsi="Cambria"/>
          <w:sz w:val="20"/>
        </w:rPr>
        <w:t xml:space="preserve"> ceremony for the </w:t>
      </w:r>
      <w:r w:rsidR="00D046E8">
        <w:rPr>
          <w:rFonts w:ascii="Cambria" w:hAnsi="Cambria"/>
          <w:sz w:val="20"/>
        </w:rPr>
        <w:t>acknowledgment of responsibility, as jointly informed by the parties, th</w:t>
      </w:r>
      <w:r w:rsidR="00AC319A">
        <w:rPr>
          <w:rFonts w:ascii="Cambria" w:hAnsi="Cambria"/>
          <w:sz w:val="20"/>
        </w:rPr>
        <w:t>e</w:t>
      </w:r>
      <w:r w:rsidR="00D046E8">
        <w:rPr>
          <w:rFonts w:ascii="Cambria" w:hAnsi="Cambria"/>
          <w:sz w:val="20"/>
        </w:rPr>
        <w:t xml:space="preserve"> </w:t>
      </w:r>
      <w:r w:rsidR="0018031D">
        <w:rPr>
          <w:rFonts w:ascii="Cambria" w:hAnsi="Cambria"/>
          <w:sz w:val="20"/>
        </w:rPr>
        <w:t>act</w:t>
      </w:r>
      <w:r w:rsidR="00DA5F64">
        <w:rPr>
          <w:rFonts w:ascii="Cambria" w:hAnsi="Cambria"/>
          <w:sz w:val="20"/>
        </w:rPr>
        <w:t xml:space="preserve"> </w:t>
      </w:r>
      <w:r w:rsidR="00D046E8">
        <w:rPr>
          <w:rFonts w:ascii="Cambria" w:hAnsi="Cambria"/>
          <w:sz w:val="20"/>
        </w:rPr>
        <w:t xml:space="preserve">was </w:t>
      </w:r>
      <w:r w:rsidR="007217D5">
        <w:rPr>
          <w:rFonts w:ascii="Cambria" w:hAnsi="Cambria"/>
          <w:sz w:val="20"/>
        </w:rPr>
        <w:t xml:space="preserve">held </w:t>
      </w:r>
      <w:r w:rsidR="00D046E8">
        <w:rPr>
          <w:rFonts w:ascii="Cambria" w:hAnsi="Cambria"/>
          <w:sz w:val="20"/>
        </w:rPr>
        <w:t xml:space="preserve">on November 2, 2023, at Finca la Esperanza, in the municipality of Los Palmitos, department of Sucre. The parties reported that there was </w:t>
      </w:r>
      <w:r w:rsidR="00DA5F64">
        <w:rPr>
          <w:rFonts w:ascii="Cambria" w:hAnsi="Cambria"/>
          <w:sz w:val="20"/>
        </w:rPr>
        <w:t>consistent and</w:t>
      </w:r>
      <w:r w:rsidR="00D046E8">
        <w:rPr>
          <w:rFonts w:ascii="Cambria" w:hAnsi="Cambria"/>
          <w:sz w:val="20"/>
        </w:rPr>
        <w:t xml:space="preserve"> flu</w:t>
      </w:r>
      <w:r w:rsidR="001B0F9B">
        <w:rPr>
          <w:rFonts w:ascii="Cambria" w:hAnsi="Cambria"/>
          <w:sz w:val="20"/>
        </w:rPr>
        <w:t>ent</w:t>
      </w:r>
      <w:r w:rsidR="00D046E8">
        <w:rPr>
          <w:rFonts w:ascii="Cambria" w:hAnsi="Cambria"/>
          <w:sz w:val="20"/>
        </w:rPr>
        <w:t xml:space="preserve"> communication between the State and the petitioning party</w:t>
      </w:r>
      <w:r w:rsidR="001B0F9B">
        <w:rPr>
          <w:rFonts w:ascii="Cambria" w:hAnsi="Cambria"/>
          <w:sz w:val="20"/>
        </w:rPr>
        <w:t>. The parties</w:t>
      </w:r>
      <w:r w:rsidR="00D046E8">
        <w:rPr>
          <w:rFonts w:ascii="Cambria" w:hAnsi="Cambria"/>
          <w:sz w:val="20"/>
        </w:rPr>
        <w:t xml:space="preserve"> agreed on every detail for</w:t>
      </w:r>
      <w:r w:rsidR="00603F4F">
        <w:rPr>
          <w:rFonts w:ascii="Cambria" w:hAnsi="Cambria"/>
          <w:sz w:val="20"/>
        </w:rPr>
        <w:t xml:space="preserve"> the </w:t>
      </w:r>
      <w:r w:rsidR="009E26D7">
        <w:rPr>
          <w:rFonts w:ascii="Cambria" w:hAnsi="Cambria"/>
          <w:sz w:val="20"/>
        </w:rPr>
        <w:t xml:space="preserve">fulfillment of </w:t>
      </w:r>
      <w:r w:rsidR="00D046E8">
        <w:rPr>
          <w:rFonts w:ascii="Cambria" w:hAnsi="Cambria"/>
          <w:sz w:val="20"/>
        </w:rPr>
        <w:t xml:space="preserve">the measure, such as the date, time, agenda, and logistics required for its </w:t>
      </w:r>
      <w:r w:rsidR="00E80D36">
        <w:rPr>
          <w:rFonts w:ascii="Cambria" w:hAnsi="Cambria"/>
          <w:sz w:val="20"/>
        </w:rPr>
        <w:t>execution</w:t>
      </w:r>
      <w:r w:rsidR="00D046E8">
        <w:rPr>
          <w:rFonts w:ascii="Cambria" w:hAnsi="Cambria"/>
          <w:sz w:val="20"/>
        </w:rPr>
        <w:t xml:space="preserve">. </w:t>
      </w:r>
      <w:r w:rsidR="00AB6C98">
        <w:rPr>
          <w:rFonts w:ascii="Cambria" w:hAnsi="Cambria"/>
          <w:sz w:val="20"/>
        </w:rPr>
        <w:t>T</w:t>
      </w:r>
      <w:r w:rsidR="00D046E8">
        <w:rPr>
          <w:rFonts w:ascii="Cambria" w:hAnsi="Cambria"/>
          <w:sz w:val="20"/>
        </w:rPr>
        <w:t>he parties provided a</w:t>
      </w:r>
      <w:r w:rsidR="00875635">
        <w:rPr>
          <w:rFonts w:ascii="Cambria" w:hAnsi="Cambria"/>
          <w:sz w:val="20"/>
        </w:rPr>
        <w:t xml:space="preserve"> </w:t>
      </w:r>
      <w:r w:rsidR="00D046E8">
        <w:rPr>
          <w:rFonts w:ascii="Cambria" w:hAnsi="Cambria"/>
          <w:sz w:val="20"/>
        </w:rPr>
        <w:t>copy of the invitation</w:t>
      </w:r>
      <w:r w:rsidR="00CA75C2">
        <w:rPr>
          <w:rFonts w:ascii="Cambria" w:hAnsi="Cambria"/>
          <w:sz w:val="20"/>
        </w:rPr>
        <w:t xml:space="preserve"> extended</w:t>
      </w:r>
      <w:r w:rsidR="00D046E8">
        <w:rPr>
          <w:rFonts w:ascii="Cambria" w:hAnsi="Cambria"/>
          <w:sz w:val="20"/>
        </w:rPr>
        <w:t xml:space="preserve"> to the petitioning party and family members to participate in the act of acknowledgment of responsibility, in which the </w:t>
      </w:r>
      <w:r w:rsidR="00690B17">
        <w:rPr>
          <w:rFonts w:ascii="Cambria" w:hAnsi="Cambria"/>
          <w:sz w:val="20"/>
        </w:rPr>
        <w:t xml:space="preserve">family members </w:t>
      </w:r>
      <w:r w:rsidR="00D046E8">
        <w:rPr>
          <w:rFonts w:ascii="Cambria" w:hAnsi="Cambria"/>
          <w:sz w:val="20"/>
        </w:rPr>
        <w:t xml:space="preserve">of the victims participated both virtually and in person. </w:t>
      </w:r>
    </w:p>
    <w:p w14:paraId="060FE2E3" w14:textId="77777777" w:rsidR="00D046E8" w:rsidRPr="000A2C03" w:rsidRDefault="00D046E8" w:rsidP="00D046E8">
      <w:pPr>
        <w:pStyle w:val="paragraph"/>
        <w:spacing w:before="0" w:beforeAutospacing="0" w:after="0" w:afterAutospacing="0"/>
        <w:jc w:val="both"/>
        <w:textAlignment w:val="baseline"/>
        <w:rPr>
          <w:rFonts w:ascii="Cambria" w:hAnsi="Cambria"/>
          <w:sz w:val="20"/>
          <w:szCs w:val="20"/>
        </w:rPr>
      </w:pPr>
    </w:p>
    <w:p w14:paraId="2A7FCBDF" w14:textId="237D6184" w:rsidR="00D046E8" w:rsidRDefault="00171E90" w:rsidP="00D046E8">
      <w:pPr>
        <w:pStyle w:val="paragraph"/>
        <w:numPr>
          <w:ilvl w:val="0"/>
          <w:numId w:val="58"/>
        </w:numPr>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t>Similarly</w:t>
      </w:r>
      <w:r w:rsidR="00D046E8">
        <w:rPr>
          <w:rFonts w:ascii="Cambria" w:hAnsi="Cambria"/>
          <w:sz w:val="20"/>
        </w:rPr>
        <w:t xml:space="preserve">, the parties reported on the content of the </w:t>
      </w:r>
      <w:r>
        <w:rPr>
          <w:rFonts w:ascii="Cambria" w:hAnsi="Cambria"/>
          <w:sz w:val="20"/>
        </w:rPr>
        <w:t xml:space="preserve">agreed </w:t>
      </w:r>
      <w:r w:rsidR="00D046E8">
        <w:rPr>
          <w:rFonts w:ascii="Cambria" w:hAnsi="Cambria"/>
          <w:sz w:val="20"/>
        </w:rPr>
        <w:t xml:space="preserve">agenda for the </w:t>
      </w:r>
      <w:r w:rsidR="008A1F6F">
        <w:rPr>
          <w:rFonts w:ascii="Cambria" w:hAnsi="Cambria"/>
          <w:sz w:val="20"/>
        </w:rPr>
        <w:t>ceremony</w:t>
      </w:r>
      <w:r w:rsidR="00D046E8">
        <w:rPr>
          <w:rFonts w:ascii="Cambria" w:hAnsi="Cambria"/>
          <w:sz w:val="20"/>
        </w:rPr>
        <w:t xml:space="preserve">, which included </w:t>
      </w:r>
      <w:r>
        <w:rPr>
          <w:rFonts w:ascii="Cambria" w:hAnsi="Cambria"/>
          <w:sz w:val="20"/>
        </w:rPr>
        <w:t>a</w:t>
      </w:r>
      <w:r w:rsidR="008A1F6F">
        <w:rPr>
          <w:rFonts w:ascii="Cambria" w:hAnsi="Cambria"/>
          <w:sz w:val="20"/>
        </w:rPr>
        <w:t>n</w:t>
      </w:r>
      <w:r>
        <w:rPr>
          <w:rFonts w:ascii="Cambria" w:hAnsi="Cambria"/>
          <w:sz w:val="20"/>
        </w:rPr>
        <w:t xml:space="preserve"> </w:t>
      </w:r>
      <w:r w:rsidR="00D046E8">
        <w:rPr>
          <w:rFonts w:ascii="Cambria" w:hAnsi="Cambria"/>
          <w:sz w:val="20"/>
        </w:rPr>
        <w:t xml:space="preserve">opening </w:t>
      </w:r>
      <w:r w:rsidR="008A1F6F">
        <w:rPr>
          <w:rFonts w:ascii="Cambria" w:hAnsi="Cambria"/>
          <w:sz w:val="20"/>
        </w:rPr>
        <w:t xml:space="preserve">session </w:t>
      </w:r>
      <w:r w:rsidR="00D046E8">
        <w:rPr>
          <w:rFonts w:ascii="Cambria" w:hAnsi="Cambria"/>
          <w:sz w:val="20"/>
        </w:rPr>
        <w:t xml:space="preserve">and installation, the national anthem of Colombia, the </w:t>
      </w:r>
      <w:r w:rsidR="00EE5EFE">
        <w:rPr>
          <w:rFonts w:ascii="Cambria" w:hAnsi="Cambria"/>
          <w:sz w:val="20"/>
        </w:rPr>
        <w:t xml:space="preserve">screening </w:t>
      </w:r>
      <w:r w:rsidR="00D046E8">
        <w:rPr>
          <w:rFonts w:ascii="Cambria" w:hAnsi="Cambria"/>
          <w:sz w:val="20"/>
        </w:rPr>
        <w:t xml:space="preserve">of a commemorative video, and the reading of a poem written by Mrs. Denys del Carmen Olivera Montes, as well as </w:t>
      </w:r>
      <w:r w:rsidR="003372DD">
        <w:rPr>
          <w:rFonts w:ascii="Cambria" w:hAnsi="Cambria"/>
          <w:sz w:val="20"/>
        </w:rPr>
        <w:t xml:space="preserve">remarks </w:t>
      </w:r>
      <w:r w:rsidR="00D046E8">
        <w:rPr>
          <w:rFonts w:ascii="Cambria" w:hAnsi="Cambria"/>
          <w:sz w:val="20"/>
        </w:rPr>
        <w:t xml:space="preserve">by Mr. Astolfo Nain Montes Olivera, son of Denys del Carmen Olivera and Juan José Montes </w:t>
      </w:r>
      <w:r w:rsidR="00D046E8">
        <w:rPr>
          <w:rFonts w:ascii="Cambria" w:hAnsi="Cambria"/>
          <w:color w:val="000000"/>
          <w:sz w:val="20"/>
        </w:rPr>
        <w:t>Balasnoa</w:t>
      </w:r>
      <w:r w:rsidR="00D046E8">
        <w:rPr>
          <w:rFonts w:ascii="Cambria" w:hAnsi="Cambria"/>
          <w:sz w:val="20"/>
        </w:rPr>
        <w:t xml:space="preserve">, and by Mrs. Rossette Elena María de Contreras, on behalf of petitioner Francisco Javier Herrera Sánchez. Afterwards, the Regional Public Defender of Sucre also made a speech in honor of the victims of the case. Finally, a song was sung and the ceremony closed by Mr. Juan Carlos Perez Olivera. </w:t>
      </w:r>
    </w:p>
    <w:p w14:paraId="03BD06B4" w14:textId="77777777" w:rsidR="00D046E8" w:rsidRPr="000A2C03" w:rsidRDefault="00D046E8" w:rsidP="00D046E8">
      <w:pPr>
        <w:pStyle w:val="paragraph"/>
        <w:spacing w:before="0" w:beforeAutospacing="0" w:after="0" w:afterAutospacing="0"/>
        <w:jc w:val="both"/>
        <w:textAlignment w:val="baseline"/>
        <w:rPr>
          <w:rFonts w:ascii="Cambria" w:hAnsi="Cambria" w:cs="Segoe UI"/>
          <w:sz w:val="20"/>
          <w:szCs w:val="20"/>
        </w:rPr>
      </w:pPr>
    </w:p>
    <w:p w14:paraId="05B6CEF5" w14:textId="2051128C" w:rsidR="00D046E8" w:rsidRPr="00FF6556" w:rsidRDefault="00D046E8" w:rsidP="00D046E8">
      <w:pPr>
        <w:pStyle w:val="paragraph"/>
        <w:numPr>
          <w:ilvl w:val="0"/>
          <w:numId w:val="58"/>
        </w:numPr>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t>Speaking on behalf of the State was the Director of International Legal Defense</w:t>
      </w:r>
      <w:r w:rsidR="006D4908">
        <w:rPr>
          <w:rFonts w:ascii="Cambria" w:hAnsi="Cambria"/>
          <w:sz w:val="20"/>
        </w:rPr>
        <w:t xml:space="preserve"> of the </w:t>
      </w:r>
      <w:r w:rsidR="00CC28C3" w:rsidRPr="00CC28C3">
        <w:rPr>
          <w:rFonts w:ascii="Cambria" w:hAnsi="Cambria"/>
          <w:sz w:val="20"/>
        </w:rPr>
        <w:t>National Agency for the Legal Defense of the State</w:t>
      </w:r>
      <w:r w:rsidR="00BF2DFF">
        <w:rPr>
          <w:rFonts w:ascii="Cambria" w:hAnsi="Cambria"/>
          <w:sz w:val="20"/>
        </w:rPr>
        <w:t xml:space="preserve">. He </w:t>
      </w:r>
      <w:r>
        <w:rPr>
          <w:rFonts w:ascii="Cambria" w:hAnsi="Cambria"/>
          <w:sz w:val="20"/>
        </w:rPr>
        <w:t xml:space="preserve">asked for forgiveness from the victims and their families for what happened, and acknowledged the State's responsibility under the terms established in the friendly settlement agreement signed between the parties, </w:t>
      </w:r>
      <w:r w:rsidR="00974B07">
        <w:rPr>
          <w:rFonts w:ascii="Cambria" w:hAnsi="Cambria"/>
          <w:sz w:val="20"/>
        </w:rPr>
        <w:t>stating the following</w:t>
      </w:r>
      <w:r>
        <w:rPr>
          <w:rFonts w:ascii="Cambria" w:hAnsi="Cambria"/>
          <w:sz w:val="20"/>
        </w:rPr>
        <w:t xml:space="preserve">: </w:t>
      </w:r>
    </w:p>
    <w:p w14:paraId="512E3CE2" w14:textId="77777777" w:rsidR="00D046E8" w:rsidRPr="000A2C03" w:rsidRDefault="00D046E8" w:rsidP="00D046E8">
      <w:pPr>
        <w:pStyle w:val="paragraph"/>
        <w:spacing w:before="0" w:beforeAutospacing="0" w:after="0" w:afterAutospacing="0"/>
        <w:jc w:val="both"/>
        <w:textAlignment w:val="baseline"/>
        <w:rPr>
          <w:rStyle w:val="normaltextrun"/>
          <w:rFonts w:ascii="Cambria" w:hAnsi="Cambria" w:cs="Segoe UI"/>
          <w:sz w:val="20"/>
          <w:szCs w:val="20"/>
          <w:highlight w:val="yellow"/>
        </w:rPr>
      </w:pPr>
    </w:p>
    <w:p w14:paraId="75E2868F" w14:textId="77777777" w:rsidR="00D046E8" w:rsidRPr="005913D6" w:rsidRDefault="00D046E8" w:rsidP="00D046E8">
      <w:pPr>
        <w:pStyle w:val="paragraph"/>
        <w:spacing w:before="0" w:beforeAutospacing="0" w:after="0" w:afterAutospacing="0"/>
        <w:ind w:left="720" w:right="720"/>
        <w:jc w:val="both"/>
        <w:rPr>
          <w:rFonts w:ascii="Cambria" w:hAnsi="Cambria" w:cs="Segoe UI"/>
          <w:sz w:val="20"/>
          <w:szCs w:val="20"/>
        </w:rPr>
      </w:pPr>
      <w:r>
        <w:rPr>
          <w:rFonts w:ascii="Cambria" w:hAnsi="Cambria"/>
          <w:sz w:val="20"/>
        </w:rPr>
        <w:t>[...]</w:t>
      </w:r>
    </w:p>
    <w:p w14:paraId="0E5121B3" w14:textId="77777777" w:rsidR="00D046E8" w:rsidRPr="000A2C03" w:rsidRDefault="00D046E8" w:rsidP="00D046E8">
      <w:pPr>
        <w:pStyle w:val="paragraph"/>
        <w:spacing w:before="0" w:beforeAutospacing="0" w:after="0" w:afterAutospacing="0"/>
        <w:jc w:val="both"/>
        <w:textAlignment w:val="baseline"/>
        <w:rPr>
          <w:rStyle w:val="normaltextrun"/>
          <w:rFonts w:ascii="Cambria" w:hAnsi="Cambria" w:cs="Segoe UI"/>
          <w:sz w:val="20"/>
          <w:szCs w:val="20"/>
        </w:rPr>
      </w:pPr>
    </w:p>
    <w:p w14:paraId="59868C58" w14:textId="22CF76BB" w:rsidR="00D046E8" w:rsidRPr="005913D6" w:rsidRDefault="00D046E8" w:rsidP="00D046E8">
      <w:pPr>
        <w:pStyle w:val="paragraph"/>
        <w:spacing w:before="0" w:beforeAutospacing="0" w:after="0" w:afterAutospacing="0"/>
        <w:ind w:left="720" w:right="720"/>
        <w:jc w:val="both"/>
        <w:textAlignment w:val="baseline"/>
        <w:rPr>
          <w:rStyle w:val="normaltextrun"/>
          <w:rFonts w:ascii="Cambria" w:hAnsi="Cambria" w:cs="Segoe UI"/>
          <w:sz w:val="20"/>
          <w:szCs w:val="20"/>
        </w:rPr>
      </w:pPr>
      <w:r>
        <w:rPr>
          <w:rFonts w:ascii="Cambria" w:hAnsi="Cambria"/>
          <w:sz w:val="20"/>
        </w:rPr>
        <w:t xml:space="preserve">Today marks the 25th anniversary of the death of Mrs. Denys del Carmen Olivera, Mr. Juan José Montes Balasnoa, and Mrs. Piedad Montes Olivera, who were murdered by members of paramilitary groups operating in this region. I am moved, </w:t>
      </w:r>
      <w:r w:rsidR="00362D03">
        <w:rPr>
          <w:rFonts w:ascii="Cambria" w:hAnsi="Cambria"/>
          <w:sz w:val="20"/>
        </w:rPr>
        <w:t xml:space="preserve">and </w:t>
      </w:r>
      <w:r>
        <w:rPr>
          <w:rFonts w:ascii="Cambria" w:hAnsi="Cambria"/>
          <w:sz w:val="20"/>
        </w:rPr>
        <w:t>at the same time honored to be able to join you today to commemorate their memory. [</w:t>
      </w:r>
      <w:r>
        <w:rPr>
          <w:rStyle w:val="normaltextrun"/>
          <w:rFonts w:ascii="Cambria" w:hAnsi="Cambria"/>
          <w:sz w:val="20"/>
        </w:rPr>
        <w:t>…]</w:t>
      </w:r>
    </w:p>
    <w:p w14:paraId="19C2EE47" w14:textId="77777777" w:rsidR="00D046E8" w:rsidRPr="000A2C03" w:rsidRDefault="00D046E8" w:rsidP="00D046E8">
      <w:pPr>
        <w:pStyle w:val="paragraph"/>
        <w:spacing w:before="0" w:beforeAutospacing="0" w:after="0" w:afterAutospacing="0"/>
        <w:jc w:val="both"/>
        <w:textAlignment w:val="baseline"/>
        <w:rPr>
          <w:rStyle w:val="normaltextrun"/>
          <w:rFonts w:ascii="Cambria" w:hAnsi="Cambria" w:cs="Segoe UI"/>
          <w:sz w:val="20"/>
          <w:szCs w:val="20"/>
        </w:rPr>
      </w:pPr>
    </w:p>
    <w:p w14:paraId="663BD941" w14:textId="4004B196" w:rsidR="00D046E8" w:rsidRPr="005913D6" w:rsidRDefault="00D046E8" w:rsidP="00D046E8">
      <w:pPr>
        <w:pStyle w:val="paragraph"/>
        <w:spacing w:before="0" w:beforeAutospacing="0" w:after="0" w:afterAutospacing="0"/>
        <w:ind w:left="720" w:right="720"/>
        <w:jc w:val="both"/>
        <w:textAlignment w:val="baseline"/>
        <w:rPr>
          <w:rFonts w:ascii="Cambria" w:hAnsi="Cambria" w:cs="Segoe UI"/>
          <w:sz w:val="20"/>
          <w:szCs w:val="20"/>
        </w:rPr>
      </w:pPr>
      <w:r>
        <w:rPr>
          <w:rFonts w:ascii="Cambria" w:hAnsi="Cambria"/>
          <w:sz w:val="20"/>
        </w:rPr>
        <w:t xml:space="preserve">Twenty-five years ago, this family that </w:t>
      </w:r>
      <w:r w:rsidR="007562E5">
        <w:rPr>
          <w:rFonts w:ascii="Cambria" w:hAnsi="Cambria"/>
          <w:sz w:val="20"/>
        </w:rPr>
        <w:t xml:space="preserve">is with us </w:t>
      </w:r>
      <w:r>
        <w:rPr>
          <w:rFonts w:ascii="Cambria" w:hAnsi="Cambria"/>
          <w:sz w:val="20"/>
        </w:rPr>
        <w:t>today</w:t>
      </w:r>
      <w:r w:rsidR="007562E5">
        <w:rPr>
          <w:rFonts w:ascii="Cambria" w:hAnsi="Cambria"/>
          <w:sz w:val="20"/>
        </w:rPr>
        <w:t>,</w:t>
      </w:r>
      <w:r>
        <w:rPr>
          <w:rFonts w:ascii="Cambria" w:hAnsi="Cambria"/>
          <w:sz w:val="20"/>
        </w:rPr>
        <w:t xml:space="preserve"> did not </w:t>
      </w:r>
      <w:r w:rsidR="00CC6F7F">
        <w:rPr>
          <w:rFonts w:ascii="Cambria" w:hAnsi="Cambria"/>
          <w:sz w:val="20"/>
        </w:rPr>
        <w:t xml:space="preserve">obtain </w:t>
      </w:r>
      <w:r>
        <w:rPr>
          <w:rFonts w:ascii="Cambria" w:hAnsi="Cambria"/>
          <w:sz w:val="20"/>
        </w:rPr>
        <w:t xml:space="preserve">the assistance they </w:t>
      </w:r>
      <w:r w:rsidR="007B1899">
        <w:rPr>
          <w:rFonts w:ascii="Cambria" w:hAnsi="Cambria"/>
          <w:sz w:val="20"/>
        </w:rPr>
        <w:t xml:space="preserve">needed </w:t>
      </w:r>
      <w:r>
        <w:rPr>
          <w:rFonts w:ascii="Cambria" w:hAnsi="Cambria"/>
          <w:sz w:val="20"/>
        </w:rPr>
        <w:t xml:space="preserve">from the state authorities when they were informed of these murders. As a result, </w:t>
      </w:r>
      <w:r w:rsidR="008B0C18">
        <w:rPr>
          <w:rFonts w:ascii="Cambria" w:hAnsi="Cambria"/>
          <w:sz w:val="20"/>
        </w:rPr>
        <w:t xml:space="preserve">several </w:t>
      </w:r>
      <w:r>
        <w:rPr>
          <w:rFonts w:ascii="Cambria" w:hAnsi="Cambria"/>
          <w:sz w:val="20"/>
        </w:rPr>
        <w:t>of the family members had to carry the lifeless bodies of their loved ones by hand and by their own means, facing risk</w:t>
      </w:r>
      <w:r w:rsidR="008B0C18">
        <w:rPr>
          <w:rFonts w:ascii="Cambria" w:hAnsi="Cambria"/>
          <w:sz w:val="20"/>
        </w:rPr>
        <w:t>s</w:t>
      </w:r>
      <w:r>
        <w:rPr>
          <w:rFonts w:ascii="Cambria" w:hAnsi="Cambria"/>
          <w:sz w:val="20"/>
        </w:rPr>
        <w:t xml:space="preserve"> to their own lives </w:t>
      </w:r>
      <w:r w:rsidR="00397E64">
        <w:rPr>
          <w:rFonts w:ascii="Cambria" w:hAnsi="Cambria"/>
          <w:sz w:val="20"/>
        </w:rPr>
        <w:t>entailed</w:t>
      </w:r>
      <w:r w:rsidR="007B703B">
        <w:rPr>
          <w:rFonts w:ascii="Cambria" w:hAnsi="Cambria"/>
          <w:sz w:val="20"/>
        </w:rPr>
        <w:t xml:space="preserve"> </w:t>
      </w:r>
      <w:r w:rsidR="00B906C7">
        <w:rPr>
          <w:rFonts w:ascii="Cambria" w:hAnsi="Cambria"/>
          <w:sz w:val="20"/>
        </w:rPr>
        <w:t xml:space="preserve">in </w:t>
      </w:r>
      <w:r>
        <w:rPr>
          <w:rFonts w:ascii="Cambria" w:hAnsi="Cambria"/>
          <w:sz w:val="20"/>
        </w:rPr>
        <w:t xml:space="preserve">returning </w:t>
      </w:r>
      <w:r w:rsidR="00B906C7">
        <w:rPr>
          <w:rFonts w:ascii="Cambria" w:hAnsi="Cambria"/>
          <w:sz w:val="20"/>
        </w:rPr>
        <w:t xml:space="preserve">alone </w:t>
      </w:r>
      <w:r>
        <w:rPr>
          <w:rFonts w:ascii="Cambria" w:hAnsi="Cambria"/>
          <w:sz w:val="20"/>
        </w:rPr>
        <w:t xml:space="preserve">to the scene </w:t>
      </w:r>
      <w:r w:rsidR="00B906C7">
        <w:rPr>
          <w:rFonts w:ascii="Cambria" w:hAnsi="Cambria"/>
          <w:sz w:val="20"/>
        </w:rPr>
        <w:t>of the events</w:t>
      </w:r>
      <w:r>
        <w:rPr>
          <w:rFonts w:ascii="Cambria" w:hAnsi="Cambria"/>
          <w:sz w:val="20"/>
        </w:rPr>
        <w:t xml:space="preserve">. A situation that no Colombian man or woman should </w:t>
      </w:r>
      <w:r w:rsidR="002B4FD4">
        <w:rPr>
          <w:rFonts w:ascii="Cambria" w:hAnsi="Cambria"/>
          <w:sz w:val="20"/>
        </w:rPr>
        <w:t xml:space="preserve">ever have had to </w:t>
      </w:r>
      <w:r>
        <w:rPr>
          <w:rFonts w:ascii="Cambria" w:hAnsi="Cambria"/>
          <w:sz w:val="20"/>
        </w:rPr>
        <w:t>live</w:t>
      </w:r>
      <w:r w:rsidR="002B4FD4">
        <w:rPr>
          <w:rFonts w:ascii="Cambria" w:hAnsi="Cambria"/>
          <w:sz w:val="20"/>
        </w:rPr>
        <w:t xml:space="preserve"> </w:t>
      </w:r>
      <w:r>
        <w:rPr>
          <w:rFonts w:ascii="Cambria" w:hAnsi="Cambria"/>
          <w:sz w:val="20"/>
        </w:rPr>
        <w:t xml:space="preserve">or witness. </w:t>
      </w:r>
    </w:p>
    <w:p w14:paraId="210A8D0C" w14:textId="77777777" w:rsidR="00D046E8" w:rsidRPr="000A2C03" w:rsidRDefault="00D046E8" w:rsidP="00D046E8">
      <w:pPr>
        <w:pStyle w:val="paragraph"/>
        <w:spacing w:before="0" w:beforeAutospacing="0" w:after="0" w:afterAutospacing="0"/>
        <w:jc w:val="both"/>
        <w:textAlignment w:val="baseline"/>
        <w:rPr>
          <w:rFonts w:ascii="Cambria" w:hAnsi="Cambria" w:cs="Segoe UI"/>
          <w:sz w:val="20"/>
          <w:szCs w:val="20"/>
        </w:rPr>
      </w:pPr>
    </w:p>
    <w:p w14:paraId="2CD1D78F" w14:textId="2A5158F0" w:rsidR="00D046E8" w:rsidRPr="005913D6" w:rsidRDefault="00D046E8" w:rsidP="00D046E8">
      <w:pPr>
        <w:pStyle w:val="paragraph"/>
        <w:spacing w:before="0" w:beforeAutospacing="0" w:after="0" w:afterAutospacing="0"/>
        <w:ind w:left="720" w:right="720"/>
        <w:jc w:val="both"/>
        <w:textAlignment w:val="baseline"/>
        <w:rPr>
          <w:rStyle w:val="normaltextrun"/>
          <w:rFonts w:ascii="Cambria" w:hAnsi="Cambria" w:cs="Segoe UI"/>
          <w:sz w:val="20"/>
          <w:szCs w:val="20"/>
        </w:rPr>
      </w:pPr>
      <w:r>
        <w:rPr>
          <w:rFonts w:ascii="Cambria" w:hAnsi="Cambria"/>
          <w:sz w:val="20"/>
        </w:rPr>
        <w:t xml:space="preserve">The efficient determination of the truth within the framework of the State's obligation to investigate a violent death should have been carried out with </w:t>
      </w:r>
      <w:r w:rsidR="00220D47">
        <w:rPr>
          <w:rFonts w:ascii="Cambria" w:hAnsi="Cambria"/>
          <w:sz w:val="20"/>
        </w:rPr>
        <w:t xml:space="preserve">due </w:t>
      </w:r>
      <w:r>
        <w:rPr>
          <w:rFonts w:ascii="Cambria" w:hAnsi="Cambria"/>
          <w:sz w:val="20"/>
        </w:rPr>
        <w:t xml:space="preserve">diligence from the first </w:t>
      </w:r>
      <w:r>
        <w:rPr>
          <w:rFonts w:ascii="Cambria" w:hAnsi="Cambria"/>
          <w:sz w:val="20"/>
        </w:rPr>
        <w:lastRenderedPageBreak/>
        <w:t xml:space="preserve">moment it </w:t>
      </w:r>
      <w:r w:rsidR="00D41496">
        <w:rPr>
          <w:rFonts w:ascii="Cambria" w:hAnsi="Cambria"/>
          <w:sz w:val="20"/>
        </w:rPr>
        <w:t xml:space="preserve">became aware </w:t>
      </w:r>
      <w:r>
        <w:rPr>
          <w:rFonts w:ascii="Cambria" w:hAnsi="Cambria"/>
          <w:sz w:val="20"/>
        </w:rPr>
        <w:t xml:space="preserve">of the </w:t>
      </w:r>
      <w:r w:rsidR="00D41496">
        <w:rPr>
          <w:rFonts w:ascii="Cambria" w:hAnsi="Cambria"/>
          <w:sz w:val="20"/>
        </w:rPr>
        <w:t>murders</w:t>
      </w:r>
      <w:r>
        <w:rPr>
          <w:rFonts w:ascii="Cambria" w:hAnsi="Cambria"/>
          <w:sz w:val="20"/>
        </w:rPr>
        <w:t xml:space="preserve">. It was the State's responsibility to carry out all the necessary actions to </w:t>
      </w:r>
      <w:r w:rsidR="00905573">
        <w:rPr>
          <w:rFonts w:ascii="Cambria" w:hAnsi="Cambria"/>
          <w:sz w:val="20"/>
        </w:rPr>
        <w:t xml:space="preserve">reach </w:t>
      </w:r>
      <w:r>
        <w:rPr>
          <w:rFonts w:ascii="Cambria" w:hAnsi="Cambria"/>
          <w:sz w:val="20"/>
        </w:rPr>
        <w:t>the truth of what happened and to punish those responsible, within a reasonable time. [</w:t>
      </w:r>
      <w:r>
        <w:rPr>
          <w:rStyle w:val="normaltextrun"/>
          <w:rFonts w:ascii="Cambria" w:hAnsi="Cambria"/>
          <w:sz w:val="20"/>
        </w:rPr>
        <w:t>…]</w:t>
      </w:r>
    </w:p>
    <w:p w14:paraId="09474665" w14:textId="77777777" w:rsidR="00D046E8" w:rsidRPr="000A2C03" w:rsidRDefault="00D046E8" w:rsidP="00D046E8">
      <w:pPr>
        <w:pStyle w:val="paragraph"/>
        <w:spacing w:before="0" w:beforeAutospacing="0" w:after="0" w:afterAutospacing="0"/>
        <w:jc w:val="both"/>
        <w:textAlignment w:val="baseline"/>
        <w:rPr>
          <w:rStyle w:val="normaltextrun"/>
          <w:rFonts w:ascii="Cambria" w:hAnsi="Cambria" w:cs="Segoe UI"/>
          <w:sz w:val="20"/>
          <w:szCs w:val="20"/>
        </w:rPr>
      </w:pPr>
    </w:p>
    <w:p w14:paraId="0E644213" w14:textId="77777777" w:rsidR="00D046E8" w:rsidRPr="00F761BB" w:rsidRDefault="00D046E8" w:rsidP="00D046E8">
      <w:pPr>
        <w:pStyle w:val="paragraph"/>
        <w:spacing w:before="0" w:beforeAutospacing="0" w:after="0" w:afterAutospacing="0"/>
        <w:ind w:left="720" w:right="720"/>
        <w:jc w:val="both"/>
        <w:textAlignment w:val="baseline"/>
        <w:rPr>
          <w:rFonts w:ascii="Cambria" w:hAnsi="Cambria" w:cs="Segoe UI"/>
          <w:sz w:val="20"/>
          <w:szCs w:val="20"/>
        </w:rPr>
      </w:pPr>
      <w:r>
        <w:rPr>
          <w:rFonts w:ascii="Cambria" w:hAnsi="Cambria"/>
          <w:sz w:val="20"/>
        </w:rPr>
        <w:t xml:space="preserve">Thus, 25 years have passed without the family having had the right to truth and justice for the murders of Mrs. Denys del Carmen Olivera, Mr. Juan José Montes Balasnoa, and Mrs. Piedad Montes Olivera. </w:t>
      </w:r>
    </w:p>
    <w:p w14:paraId="37477AEA" w14:textId="77777777" w:rsidR="00D046E8" w:rsidRPr="000A2C03" w:rsidRDefault="00D046E8" w:rsidP="00D046E8">
      <w:pPr>
        <w:pStyle w:val="paragraph"/>
        <w:spacing w:before="0" w:beforeAutospacing="0" w:after="0" w:afterAutospacing="0"/>
        <w:jc w:val="both"/>
        <w:textAlignment w:val="baseline"/>
        <w:rPr>
          <w:rFonts w:ascii="Cambria" w:hAnsi="Cambria" w:cs="Segoe UI"/>
          <w:sz w:val="20"/>
          <w:szCs w:val="20"/>
        </w:rPr>
      </w:pPr>
    </w:p>
    <w:p w14:paraId="4C433CB2" w14:textId="0DCDAA89" w:rsidR="00D046E8" w:rsidRPr="00F761BB" w:rsidRDefault="00D046E8" w:rsidP="00D046E8">
      <w:pPr>
        <w:pStyle w:val="paragraph"/>
        <w:spacing w:before="0" w:beforeAutospacing="0" w:after="0" w:afterAutospacing="0"/>
        <w:ind w:left="720" w:right="720"/>
        <w:jc w:val="both"/>
        <w:textAlignment w:val="baseline"/>
        <w:rPr>
          <w:rFonts w:ascii="Cambria" w:hAnsi="Cambria" w:cs="Segoe UI"/>
          <w:sz w:val="20"/>
          <w:szCs w:val="20"/>
        </w:rPr>
      </w:pPr>
      <w:r>
        <w:rPr>
          <w:rFonts w:ascii="Cambria" w:hAnsi="Cambria"/>
          <w:sz w:val="20"/>
        </w:rPr>
        <w:t>It is for this reason that, in the name and on behalf of the Colombian State and in my capacity as Director General of the National Agency for the Legal Defense of the State, I recognize the international responsibility of the State for failing in its duty to guarantee the right to life, contained in Article 4(1) of the American Convention on Human Rights, in conjunction with Articles 1(1) (duty to guarantee), 8 (</w:t>
      </w:r>
      <w:r w:rsidR="00B32EC5">
        <w:rPr>
          <w:rFonts w:ascii="Cambria" w:hAnsi="Cambria"/>
          <w:sz w:val="20"/>
        </w:rPr>
        <w:t>fair trial</w:t>
      </w:r>
      <w:r>
        <w:rPr>
          <w:rFonts w:ascii="Cambria" w:hAnsi="Cambria"/>
          <w:sz w:val="20"/>
        </w:rPr>
        <w:t xml:space="preserve">), and 25 (judicial protection) of the same instrument, to the detriment of Mrs. Denys del Carmen Olivera, Mr. Juan José Montes Balasnoa, and Mrs. Piedad Montes Olivera. </w:t>
      </w:r>
    </w:p>
    <w:p w14:paraId="4A7C62C3" w14:textId="77777777" w:rsidR="00D046E8" w:rsidRPr="000A2C03" w:rsidRDefault="00D046E8" w:rsidP="00D046E8">
      <w:pPr>
        <w:pStyle w:val="paragraph"/>
        <w:spacing w:before="0" w:beforeAutospacing="0" w:after="0" w:afterAutospacing="0"/>
        <w:jc w:val="both"/>
        <w:textAlignment w:val="baseline"/>
        <w:rPr>
          <w:rFonts w:ascii="Cambria" w:hAnsi="Cambria" w:cs="Segoe UI"/>
          <w:sz w:val="20"/>
          <w:szCs w:val="20"/>
        </w:rPr>
      </w:pPr>
    </w:p>
    <w:p w14:paraId="20E5B479" w14:textId="2613F7DA" w:rsidR="00D046E8" w:rsidRPr="005913D6" w:rsidRDefault="00D046E8" w:rsidP="00D046E8">
      <w:pPr>
        <w:pStyle w:val="paragraph"/>
        <w:spacing w:before="0" w:beforeAutospacing="0" w:after="0" w:afterAutospacing="0"/>
        <w:ind w:left="720" w:right="720"/>
        <w:jc w:val="both"/>
        <w:textAlignment w:val="baseline"/>
        <w:rPr>
          <w:rFonts w:ascii="Cambria" w:hAnsi="Cambria" w:cs="Segoe UI"/>
          <w:sz w:val="20"/>
          <w:szCs w:val="20"/>
        </w:rPr>
      </w:pPr>
      <w:r>
        <w:rPr>
          <w:rFonts w:ascii="Cambria" w:hAnsi="Cambria"/>
          <w:sz w:val="20"/>
        </w:rPr>
        <w:t>Th</w:t>
      </w:r>
      <w:r w:rsidR="008B1EBC">
        <w:rPr>
          <w:rFonts w:ascii="Cambria" w:hAnsi="Cambria"/>
          <w:sz w:val="20"/>
        </w:rPr>
        <w:t xml:space="preserve">e aforementioned </w:t>
      </w:r>
      <w:r>
        <w:rPr>
          <w:rFonts w:ascii="Cambria" w:hAnsi="Cambria"/>
          <w:sz w:val="20"/>
        </w:rPr>
        <w:t xml:space="preserve">due to the fact that these homicides occurred within a generalized context of violence that was present in this area of the country at the time of the facts and, in particular, due to the lack of an adequate and diligent investigation. </w:t>
      </w:r>
    </w:p>
    <w:p w14:paraId="2749536F" w14:textId="77777777" w:rsidR="00D046E8" w:rsidRPr="000A2C03" w:rsidRDefault="00D046E8" w:rsidP="00D046E8">
      <w:pPr>
        <w:pStyle w:val="paragraph"/>
        <w:spacing w:before="0" w:beforeAutospacing="0" w:after="0" w:afterAutospacing="0"/>
        <w:jc w:val="both"/>
        <w:textAlignment w:val="baseline"/>
        <w:rPr>
          <w:rFonts w:ascii="Cambria" w:hAnsi="Cambria" w:cs="Segoe UI"/>
          <w:sz w:val="20"/>
          <w:szCs w:val="20"/>
        </w:rPr>
      </w:pPr>
    </w:p>
    <w:p w14:paraId="43129C1F" w14:textId="73E0D73B" w:rsidR="00D046E8" w:rsidRPr="005913D6" w:rsidRDefault="00D046E8" w:rsidP="00D046E8">
      <w:pPr>
        <w:pStyle w:val="paragraph"/>
        <w:spacing w:before="0" w:beforeAutospacing="0" w:after="0" w:afterAutospacing="0"/>
        <w:ind w:left="720" w:right="720"/>
        <w:jc w:val="both"/>
        <w:textAlignment w:val="baseline"/>
        <w:rPr>
          <w:rFonts w:ascii="Cambria" w:hAnsi="Cambria" w:cs="Segoe UI"/>
          <w:sz w:val="20"/>
          <w:szCs w:val="20"/>
        </w:rPr>
      </w:pPr>
      <w:r>
        <w:rPr>
          <w:rFonts w:ascii="Cambria" w:hAnsi="Cambria"/>
          <w:sz w:val="20"/>
        </w:rPr>
        <w:t xml:space="preserve">Likewise, I recognize the responsibility of the State for failing in its duty to provide guarantees against the violation of the right to </w:t>
      </w:r>
      <w:r w:rsidR="00D365D8">
        <w:rPr>
          <w:rFonts w:ascii="Cambria" w:hAnsi="Cambria"/>
          <w:sz w:val="20"/>
        </w:rPr>
        <w:t>humane treatment</w:t>
      </w:r>
      <w:r>
        <w:rPr>
          <w:rFonts w:ascii="Cambria" w:hAnsi="Cambria"/>
          <w:sz w:val="20"/>
        </w:rPr>
        <w:t xml:space="preserve"> (Article 5.1), </w:t>
      </w:r>
      <w:r w:rsidR="00D365D8">
        <w:rPr>
          <w:rFonts w:ascii="Cambria" w:hAnsi="Cambria"/>
          <w:sz w:val="20"/>
        </w:rPr>
        <w:t>fa</w:t>
      </w:r>
      <w:r w:rsidR="00B563CF">
        <w:rPr>
          <w:rFonts w:ascii="Cambria" w:hAnsi="Cambria"/>
          <w:sz w:val="20"/>
        </w:rPr>
        <w:t>i</w:t>
      </w:r>
      <w:r w:rsidR="00D365D8">
        <w:rPr>
          <w:rFonts w:ascii="Cambria" w:hAnsi="Cambria"/>
          <w:sz w:val="20"/>
        </w:rPr>
        <w:t xml:space="preserve">r trial </w:t>
      </w:r>
      <w:r>
        <w:rPr>
          <w:rFonts w:ascii="Cambria" w:hAnsi="Cambria"/>
          <w:sz w:val="20"/>
        </w:rPr>
        <w:t xml:space="preserve">(Article 8.1), and judicial protection (Article 25.1) of the American Convention on Human Rights, to the detriment of Amparo del Carmen, Juan José, Bernarda Berena, Jarold David, Astolfo Nain, Libia del Socorro, Prudencia María, María Auxiliadora, Marlene Isabel, Cenaida Isabel, Ronny Manuel, and Silvio José, beneficiaries of the Friendly Settlement Agreement. </w:t>
      </w:r>
    </w:p>
    <w:p w14:paraId="3BFC2016" w14:textId="77777777" w:rsidR="00D046E8" w:rsidRPr="000A2C03" w:rsidRDefault="00D046E8" w:rsidP="00D046E8">
      <w:pPr>
        <w:pStyle w:val="paragraph"/>
        <w:spacing w:before="0" w:beforeAutospacing="0" w:after="0" w:afterAutospacing="0"/>
        <w:jc w:val="both"/>
        <w:textAlignment w:val="baseline"/>
        <w:rPr>
          <w:rFonts w:ascii="Cambria" w:hAnsi="Cambria" w:cs="Segoe UI"/>
          <w:sz w:val="20"/>
          <w:szCs w:val="20"/>
        </w:rPr>
      </w:pPr>
    </w:p>
    <w:p w14:paraId="5267C921" w14:textId="2D182C01" w:rsidR="00D046E8" w:rsidRPr="005913D6" w:rsidRDefault="00D046E8" w:rsidP="00D046E8">
      <w:pPr>
        <w:pStyle w:val="paragraph"/>
        <w:spacing w:before="0" w:beforeAutospacing="0" w:after="0" w:afterAutospacing="0"/>
        <w:ind w:left="720" w:right="720"/>
        <w:jc w:val="both"/>
        <w:textAlignment w:val="baseline"/>
        <w:rPr>
          <w:rFonts w:ascii="Cambria" w:hAnsi="Cambria" w:cs="Segoe UI"/>
          <w:sz w:val="20"/>
          <w:szCs w:val="20"/>
        </w:rPr>
      </w:pPr>
      <w:r>
        <w:rPr>
          <w:rFonts w:ascii="Cambria" w:hAnsi="Cambria"/>
          <w:sz w:val="20"/>
        </w:rPr>
        <w:t>Th</w:t>
      </w:r>
      <w:r w:rsidR="00E16A4A">
        <w:rPr>
          <w:rFonts w:ascii="Cambria" w:hAnsi="Cambria"/>
          <w:sz w:val="20"/>
        </w:rPr>
        <w:t>i</w:t>
      </w:r>
      <w:r w:rsidR="00AD3D2D">
        <w:rPr>
          <w:rFonts w:ascii="Cambria" w:hAnsi="Cambria"/>
          <w:sz w:val="20"/>
        </w:rPr>
        <w:t xml:space="preserve">s was </w:t>
      </w:r>
      <w:r w:rsidR="00743491">
        <w:rPr>
          <w:rFonts w:ascii="Cambria" w:hAnsi="Cambria"/>
          <w:sz w:val="20"/>
        </w:rPr>
        <w:t>the</w:t>
      </w:r>
      <w:r w:rsidR="00AD3D2D">
        <w:rPr>
          <w:rFonts w:ascii="Cambria" w:hAnsi="Cambria"/>
          <w:sz w:val="20"/>
        </w:rPr>
        <w:t xml:space="preserve"> result of </w:t>
      </w:r>
      <w:r>
        <w:rPr>
          <w:rFonts w:ascii="Cambria" w:hAnsi="Cambria"/>
          <w:sz w:val="20"/>
        </w:rPr>
        <w:t xml:space="preserve">the lack of a complete and effective investigation that would have allowed the family to know the truth of what happened, and to judge and punish those responsible for these crimes. The failure to clarify the facts and punish those responsible caused greater pain and anxiety in a family already hurt by the loss of their loved ones. </w:t>
      </w:r>
    </w:p>
    <w:p w14:paraId="729BC85C" w14:textId="77777777" w:rsidR="00D046E8" w:rsidRPr="000A2C03" w:rsidRDefault="00D046E8" w:rsidP="00D046E8">
      <w:pPr>
        <w:pStyle w:val="paragraph"/>
        <w:spacing w:before="0" w:beforeAutospacing="0" w:after="0" w:afterAutospacing="0"/>
        <w:jc w:val="both"/>
        <w:textAlignment w:val="baseline"/>
        <w:rPr>
          <w:rFonts w:ascii="Cambria" w:hAnsi="Cambria" w:cs="Segoe UI"/>
          <w:sz w:val="20"/>
          <w:szCs w:val="20"/>
        </w:rPr>
      </w:pPr>
    </w:p>
    <w:p w14:paraId="5D62554D" w14:textId="60276762" w:rsidR="00D046E8" w:rsidRDefault="00D046E8" w:rsidP="00D046E8">
      <w:pPr>
        <w:pStyle w:val="paragraph"/>
        <w:spacing w:before="0" w:beforeAutospacing="0" w:after="0" w:afterAutospacing="0"/>
        <w:ind w:left="720" w:right="720"/>
        <w:jc w:val="both"/>
        <w:textAlignment w:val="baseline"/>
        <w:rPr>
          <w:rFonts w:ascii="Cambria" w:hAnsi="Cambria" w:cs="Segoe UI"/>
          <w:sz w:val="20"/>
          <w:szCs w:val="20"/>
        </w:rPr>
      </w:pPr>
      <w:r>
        <w:rPr>
          <w:rFonts w:ascii="Cambria" w:hAnsi="Cambria"/>
          <w:sz w:val="20"/>
        </w:rPr>
        <w:t xml:space="preserve">I recognize the </w:t>
      </w:r>
      <w:r w:rsidR="00DD7CD1">
        <w:rPr>
          <w:rFonts w:ascii="Cambria" w:hAnsi="Cambria"/>
          <w:sz w:val="20"/>
        </w:rPr>
        <w:t xml:space="preserve">harm </w:t>
      </w:r>
      <w:r>
        <w:rPr>
          <w:rFonts w:ascii="Cambria" w:hAnsi="Cambria"/>
          <w:sz w:val="20"/>
        </w:rPr>
        <w:t>caused to the family of Denys del Carmen Olivera, Juan José Montes Balasnoa, and Piedad Montes Olivera</w:t>
      </w:r>
      <w:r w:rsidR="001C2447">
        <w:rPr>
          <w:rFonts w:ascii="Cambria" w:hAnsi="Cambria"/>
          <w:sz w:val="20"/>
        </w:rPr>
        <w:t>.T</w:t>
      </w:r>
      <w:r>
        <w:rPr>
          <w:rFonts w:ascii="Cambria" w:hAnsi="Cambria"/>
          <w:sz w:val="20"/>
        </w:rPr>
        <w:t>herefore, in the name and on behalf of the State, I ask for their forgiveness and assure them that the State is fully committed and willing to re</w:t>
      </w:r>
      <w:r w:rsidR="005E31B5">
        <w:rPr>
          <w:rFonts w:ascii="Cambria" w:hAnsi="Cambria"/>
          <w:sz w:val="20"/>
        </w:rPr>
        <w:t>dress</w:t>
      </w:r>
      <w:r>
        <w:rPr>
          <w:rFonts w:ascii="Cambria" w:hAnsi="Cambria"/>
          <w:sz w:val="20"/>
        </w:rPr>
        <w:t xml:space="preserve">the </w:t>
      </w:r>
      <w:r w:rsidR="005E31B5">
        <w:rPr>
          <w:rFonts w:ascii="Cambria" w:hAnsi="Cambria"/>
          <w:sz w:val="20"/>
        </w:rPr>
        <w:t xml:space="preserve">harm </w:t>
      </w:r>
      <w:r>
        <w:rPr>
          <w:rFonts w:ascii="Cambria" w:hAnsi="Cambria"/>
          <w:sz w:val="20"/>
        </w:rPr>
        <w:t xml:space="preserve">done, and to implement measures to ensure that these </w:t>
      </w:r>
      <w:r w:rsidR="00222C31">
        <w:rPr>
          <w:rFonts w:ascii="Cambria" w:hAnsi="Cambria"/>
          <w:sz w:val="20"/>
        </w:rPr>
        <w:t xml:space="preserve">regrettable </w:t>
      </w:r>
      <w:r>
        <w:rPr>
          <w:rFonts w:ascii="Cambria" w:hAnsi="Cambria"/>
          <w:sz w:val="20"/>
        </w:rPr>
        <w:t xml:space="preserve">events are not repeated in our society. </w:t>
      </w:r>
    </w:p>
    <w:p w14:paraId="206F49C2" w14:textId="77777777" w:rsidR="00D046E8" w:rsidRPr="000A2C03" w:rsidRDefault="00D046E8" w:rsidP="00D046E8">
      <w:pPr>
        <w:pStyle w:val="paragraph"/>
        <w:spacing w:before="0" w:beforeAutospacing="0" w:after="0" w:afterAutospacing="0"/>
        <w:jc w:val="both"/>
        <w:textAlignment w:val="baseline"/>
        <w:rPr>
          <w:rFonts w:ascii="Cambria" w:hAnsi="Cambria" w:cs="Segoe UI"/>
          <w:sz w:val="20"/>
          <w:szCs w:val="20"/>
        </w:rPr>
      </w:pPr>
    </w:p>
    <w:p w14:paraId="686D68B2" w14:textId="77777777" w:rsidR="00D046E8" w:rsidRPr="005913D6" w:rsidRDefault="00D046E8" w:rsidP="00D046E8">
      <w:pPr>
        <w:pStyle w:val="paragraph"/>
        <w:spacing w:before="0" w:beforeAutospacing="0" w:after="0" w:afterAutospacing="0"/>
        <w:ind w:left="720" w:right="720"/>
        <w:jc w:val="both"/>
        <w:textAlignment w:val="baseline"/>
        <w:rPr>
          <w:rStyle w:val="normaltextrun"/>
          <w:rFonts w:ascii="Cambria" w:hAnsi="Cambria" w:cs="Segoe UI"/>
          <w:sz w:val="20"/>
          <w:szCs w:val="20"/>
        </w:rPr>
      </w:pPr>
      <w:r>
        <w:rPr>
          <w:rStyle w:val="normaltextrun"/>
          <w:rFonts w:ascii="Cambria" w:hAnsi="Cambria"/>
          <w:sz w:val="20"/>
        </w:rPr>
        <w:t xml:space="preserve">[…]. </w:t>
      </w:r>
    </w:p>
    <w:p w14:paraId="485670F8" w14:textId="77777777" w:rsidR="00D046E8" w:rsidRPr="005913D6" w:rsidRDefault="00D046E8" w:rsidP="00D046E8">
      <w:pPr>
        <w:pStyle w:val="paragraph"/>
        <w:spacing w:before="0" w:beforeAutospacing="0" w:after="0" w:afterAutospacing="0"/>
        <w:jc w:val="both"/>
        <w:textAlignment w:val="baseline"/>
        <w:rPr>
          <w:rFonts w:ascii="Cambria" w:hAnsi="Cambria" w:cs="Segoe UI"/>
          <w:sz w:val="20"/>
          <w:szCs w:val="20"/>
          <w:highlight w:val="yellow"/>
          <w:lang w:val="es-US"/>
        </w:rPr>
      </w:pPr>
    </w:p>
    <w:p w14:paraId="3738C10C" w14:textId="5F0FEEFC" w:rsidR="00D046E8" w:rsidRPr="005913D6" w:rsidRDefault="00D046E8" w:rsidP="00D046E8">
      <w:pPr>
        <w:pStyle w:val="paragraph"/>
        <w:numPr>
          <w:ilvl w:val="0"/>
          <w:numId w:val="58"/>
        </w:numPr>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t xml:space="preserve">The </w:t>
      </w:r>
      <w:r w:rsidR="00E2562C">
        <w:rPr>
          <w:rFonts w:ascii="Cambria" w:hAnsi="Cambria"/>
          <w:sz w:val="20"/>
        </w:rPr>
        <w:t xml:space="preserve">ceremony for the </w:t>
      </w:r>
      <w:r w:rsidR="00130655">
        <w:rPr>
          <w:rFonts w:ascii="Cambria" w:hAnsi="Cambria"/>
          <w:sz w:val="20"/>
        </w:rPr>
        <w:t xml:space="preserve">acknowledgement </w:t>
      </w:r>
      <w:r w:rsidR="00E2562C">
        <w:rPr>
          <w:rFonts w:ascii="Cambria" w:hAnsi="Cambria"/>
          <w:sz w:val="20"/>
        </w:rPr>
        <w:t xml:space="preserve">of responsibility </w:t>
      </w:r>
      <w:r>
        <w:rPr>
          <w:rFonts w:ascii="Cambria" w:hAnsi="Cambria"/>
          <w:sz w:val="20"/>
        </w:rPr>
        <w:t xml:space="preserve">was </w:t>
      </w:r>
      <w:r w:rsidR="007B055C">
        <w:rPr>
          <w:rFonts w:ascii="Cambria" w:hAnsi="Cambria"/>
          <w:sz w:val="20"/>
        </w:rPr>
        <w:t xml:space="preserve">recorded on </w:t>
      </w:r>
      <w:r>
        <w:rPr>
          <w:rFonts w:ascii="Cambria" w:hAnsi="Cambria"/>
          <w:sz w:val="20"/>
        </w:rPr>
        <w:t xml:space="preserve">the YouTube </w:t>
      </w:r>
      <w:r w:rsidR="00E572C8">
        <w:rPr>
          <w:rFonts w:ascii="Cambria" w:hAnsi="Cambria"/>
          <w:sz w:val="20"/>
        </w:rPr>
        <w:t xml:space="preserve">channel </w:t>
      </w:r>
      <w:r>
        <w:rPr>
          <w:rFonts w:ascii="Cambria" w:hAnsi="Cambria"/>
          <w:sz w:val="20"/>
        </w:rPr>
        <w:t>of the National Agency for the Legal Defense of the State.</w:t>
      </w:r>
      <w:r w:rsidRPr="005913D6">
        <w:rPr>
          <w:rFonts w:ascii="Cambria" w:hAnsi="Cambria"/>
          <w:sz w:val="20"/>
          <w:szCs w:val="20"/>
          <w:vertAlign w:val="superscript"/>
        </w:rPr>
        <w:footnoteReference w:id="11"/>
      </w:r>
      <w:r>
        <w:rPr>
          <w:rFonts w:ascii="Cambria" w:hAnsi="Cambria"/>
          <w:sz w:val="20"/>
        </w:rPr>
        <w:t xml:space="preserve"> </w:t>
      </w:r>
      <w:r w:rsidR="00A23B08">
        <w:rPr>
          <w:rFonts w:ascii="Cambria" w:hAnsi="Cambria"/>
          <w:sz w:val="20"/>
        </w:rPr>
        <w:t>Conse</w:t>
      </w:r>
      <w:r w:rsidR="0032250A">
        <w:rPr>
          <w:rFonts w:ascii="Cambria" w:hAnsi="Cambria"/>
          <w:sz w:val="20"/>
        </w:rPr>
        <w:t xml:space="preserve">quently </w:t>
      </w:r>
      <w:r>
        <w:rPr>
          <w:rFonts w:ascii="Cambria" w:hAnsi="Cambria"/>
          <w:sz w:val="20"/>
        </w:rPr>
        <w:t xml:space="preserve">and bearing in mind the information provided jointly by the parties, the Commission considers, and hereby declares, that </w:t>
      </w:r>
      <w:r w:rsidR="000F6F41">
        <w:rPr>
          <w:rFonts w:ascii="Cambria" w:hAnsi="Cambria"/>
          <w:sz w:val="20"/>
        </w:rPr>
        <w:t xml:space="preserve">section </w:t>
      </w:r>
      <w:r>
        <w:rPr>
          <w:rFonts w:ascii="Cambria" w:hAnsi="Cambria"/>
          <w:sz w:val="20"/>
        </w:rPr>
        <w:t xml:space="preserve">I of clause five of the friendly settlement agreement, related to the act of acknowledgment of responsibility, has been </w:t>
      </w:r>
      <w:r w:rsidR="00E431C2">
        <w:rPr>
          <w:rFonts w:ascii="Cambria" w:hAnsi="Cambria"/>
          <w:sz w:val="20"/>
        </w:rPr>
        <w:t>met with full compliance</w:t>
      </w:r>
      <w:r>
        <w:rPr>
          <w:rFonts w:ascii="Cambria" w:hAnsi="Cambria"/>
          <w:sz w:val="20"/>
        </w:rPr>
        <w:t xml:space="preserve">. </w:t>
      </w:r>
    </w:p>
    <w:p w14:paraId="1752B2DE" w14:textId="77777777" w:rsidR="00D046E8" w:rsidRPr="000A2C03" w:rsidRDefault="00D046E8" w:rsidP="00D046E8">
      <w:pPr>
        <w:pStyle w:val="paragraph"/>
        <w:spacing w:before="0" w:beforeAutospacing="0" w:after="0" w:afterAutospacing="0"/>
        <w:jc w:val="both"/>
        <w:textAlignment w:val="baseline"/>
        <w:rPr>
          <w:rFonts w:ascii="Cambria" w:hAnsi="Cambria" w:cs="Segoe UI"/>
          <w:sz w:val="20"/>
          <w:szCs w:val="20"/>
        </w:rPr>
      </w:pPr>
    </w:p>
    <w:p w14:paraId="5AA4A964" w14:textId="0EA60EA3" w:rsidR="00D046E8" w:rsidRPr="003274F0" w:rsidRDefault="00C40B80" w:rsidP="00D046E8">
      <w:pPr>
        <w:pStyle w:val="paragraph"/>
        <w:numPr>
          <w:ilvl w:val="0"/>
          <w:numId w:val="58"/>
        </w:numPr>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t xml:space="preserve">With regards to </w:t>
      </w:r>
      <w:r w:rsidR="000F6F41">
        <w:rPr>
          <w:rFonts w:ascii="Cambria" w:hAnsi="Cambria"/>
          <w:sz w:val="20"/>
        </w:rPr>
        <w:t xml:space="preserve">section </w:t>
      </w:r>
      <w:r w:rsidR="00D046E8">
        <w:rPr>
          <w:rFonts w:ascii="Cambria" w:hAnsi="Cambria"/>
          <w:sz w:val="20"/>
        </w:rPr>
        <w:t>IV of clause five, regarding the delivery of a commemorative plaque</w:t>
      </w:r>
      <w:r w:rsidR="00D046E8">
        <w:rPr>
          <w:rFonts w:ascii="Cambria" w:hAnsi="Cambria"/>
          <w:i/>
          <w:sz w:val="20"/>
        </w:rPr>
        <w:t xml:space="preserve">, </w:t>
      </w:r>
      <w:r w:rsidR="00ED2960">
        <w:rPr>
          <w:rFonts w:ascii="Cambria" w:hAnsi="Cambria"/>
          <w:iCs/>
          <w:sz w:val="20"/>
        </w:rPr>
        <w:t xml:space="preserve">the parties indicated, </w:t>
      </w:r>
      <w:r w:rsidR="00D046E8">
        <w:rPr>
          <w:rFonts w:ascii="Cambria" w:hAnsi="Cambria"/>
          <w:sz w:val="20"/>
        </w:rPr>
        <w:t>in the</w:t>
      </w:r>
      <w:r w:rsidR="00ED2960">
        <w:rPr>
          <w:rFonts w:ascii="Cambria" w:hAnsi="Cambria"/>
          <w:sz w:val="20"/>
        </w:rPr>
        <w:t>ir</w:t>
      </w:r>
      <w:r w:rsidR="00D046E8">
        <w:rPr>
          <w:rFonts w:ascii="Cambria" w:hAnsi="Cambria"/>
          <w:sz w:val="20"/>
        </w:rPr>
        <w:t xml:space="preserve"> joint report o</w:t>
      </w:r>
      <w:r w:rsidR="00ED2960">
        <w:rPr>
          <w:rFonts w:ascii="Cambria" w:hAnsi="Cambria"/>
          <w:sz w:val="20"/>
        </w:rPr>
        <w:t>f</w:t>
      </w:r>
      <w:r w:rsidR="00D046E8">
        <w:rPr>
          <w:rFonts w:ascii="Cambria" w:hAnsi="Cambria"/>
          <w:sz w:val="20"/>
        </w:rPr>
        <w:t xml:space="preserve"> December 6, 2023, that during the act of acknowledgment of responsibility held on November 2, 2023, the State delivered to the </w:t>
      </w:r>
      <w:r w:rsidR="00C85644">
        <w:rPr>
          <w:rFonts w:ascii="Cambria" w:hAnsi="Cambria"/>
          <w:sz w:val="20"/>
        </w:rPr>
        <w:t xml:space="preserve">family </w:t>
      </w:r>
      <w:r w:rsidR="00D046E8">
        <w:rPr>
          <w:rFonts w:ascii="Cambria" w:hAnsi="Cambria"/>
          <w:sz w:val="20"/>
        </w:rPr>
        <w:t xml:space="preserve">a plaque in memory of Mrs. Denys del Carmen Olivera, Mr. Juan José Montes </w:t>
      </w:r>
      <w:r w:rsidR="00D046E8">
        <w:rPr>
          <w:rFonts w:ascii="Cambria" w:hAnsi="Cambria"/>
          <w:color w:val="000000"/>
          <w:sz w:val="20"/>
        </w:rPr>
        <w:t>Balasnoa,</w:t>
      </w:r>
      <w:r w:rsidR="00D046E8">
        <w:rPr>
          <w:rFonts w:ascii="Cambria" w:hAnsi="Cambria"/>
          <w:sz w:val="20"/>
        </w:rPr>
        <w:t xml:space="preserve"> and Mrs. Piedad Montes Olivera. They </w:t>
      </w:r>
      <w:r w:rsidR="00395C1B">
        <w:rPr>
          <w:rFonts w:ascii="Cambria" w:hAnsi="Cambria"/>
          <w:sz w:val="20"/>
        </w:rPr>
        <w:t>reported</w:t>
      </w:r>
      <w:r w:rsidR="00D046E8">
        <w:rPr>
          <w:rFonts w:ascii="Cambria" w:hAnsi="Cambria"/>
          <w:sz w:val="20"/>
        </w:rPr>
        <w:t xml:space="preserve"> that the text of the plaque was previously agreed upon with the family members and their representative, and provided the </w:t>
      </w:r>
      <w:r w:rsidR="00EA30F5">
        <w:rPr>
          <w:rFonts w:ascii="Cambria" w:hAnsi="Cambria"/>
          <w:sz w:val="20"/>
        </w:rPr>
        <w:t xml:space="preserve">respective </w:t>
      </w:r>
      <w:r w:rsidR="00D046E8">
        <w:rPr>
          <w:rFonts w:ascii="Cambria" w:hAnsi="Cambria"/>
          <w:sz w:val="20"/>
        </w:rPr>
        <w:t>photograph</w:t>
      </w:r>
      <w:r w:rsidR="00EA30F5">
        <w:rPr>
          <w:rFonts w:ascii="Cambria" w:hAnsi="Cambria"/>
          <w:sz w:val="20"/>
        </w:rPr>
        <w:t>s</w:t>
      </w:r>
      <w:r w:rsidR="00D046E8">
        <w:rPr>
          <w:rFonts w:ascii="Cambria" w:hAnsi="Cambria"/>
          <w:sz w:val="20"/>
        </w:rPr>
        <w:t xml:space="preserve">. In light of the above, based on the information provided by the parties, the </w:t>
      </w:r>
      <w:r w:rsidR="00D046E8">
        <w:rPr>
          <w:rFonts w:ascii="Cambria" w:hAnsi="Cambria"/>
          <w:sz w:val="20"/>
        </w:rPr>
        <w:lastRenderedPageBreak/>
        <w:t xml:space="preserve">Commission considers, and hereby declares, that with respect to this aspect of the agreement full compliance has been achieved. </w:t>
      </w:r>
    </w:p>
    <w:p w14:paraId="7A034AC0" w14:textId="77777777" w:rsidR="00D046E8" w:rsidRPr="000A2C03" w:rsidRDefault="00D046E8" w:rsidP="00D046E8">
      <w:pPr>
        <w:pStyle w:val="paragraph"/>
        <w:spacing w:before="0" w:beforeAutospacing="0" w:after="0" w:afterAutospacing="0"/>
        <w:jc w:val="both"/>
        <w:textAlignment w:val="baseline"/>
        <w:rPr>
          <w:rFonts w:ascii="Cambria" w:hAnsi="Cambria" w:cs="Segoe UI"/>
          <w:sz w:val="20"/>
          <w:szCs w:val="20"/>
        </w:rPr>
      </w:pPr>
    </w:p>
    <w:p w14:paraId="6B579764" w14:textId="03750960" w:rsidR="00D046E8" w:rsidRPr="00351B6B" w:rsidRDefault="008A3F3E" w:rsidP="00D046E8">
      <w:pPr>
        <w:pStyle w:val="paragraph"/>
        <w:numPr>
          <w:ilvl w:val="0"/>
          <w:numId w:val="58"/>
        </w:numPr>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t xml:space="preserve">With regards to </w:t>
      </w:r>
      <w:r w:rsidR="000F6F41">
        <w:rPr>
          <w:rFonts w:ascii="Cambria" w:hAnsi="Cambria"/>
          <w:sz w:val="20"/>
        </w:rPr>
        <w:t xml:space="preserve">section </w:t>
      </w:r>
      <w:r w:rsidR="00D046E8">
        <w:rPr>
          <w:rFonts w:ascii="Cambria" w:hAnsi="Cambria"/>
          <w:sz w:val="20"/>
        </w:rPr>
        <w:t xml:space="preserve">II (preservation, custody, and conservation </w:t>
      </w:r>
      <w:r w:rsidR="00F91DF6">
        <w:rPr>
          <w:rFonts w:ascii="Cambria" w:hAnsi="Cambria"/>
          <w:sz w:val="20"/>
        </w:rPr>
        <w:t xml:space="preserve">measures </w:t>
      </w:r>
      <w:r w:rsidR="00D046E8">
        <w:rPr>
          <w:rFonts w:ascii="Cambria" w:hAnsi="Cambria"/>
          <w:sz w:val="20"/>
        </w:rPr>
        <w:t>of the friendly settlement agreement) and III (</w:t>
      </w:r>
      <w:r w:rsidR="00F91DF6">
        <w:rPr>
          <w:rFonts w:ascii="Cambria" w:hAnsi="Cambria"/>
          <w:sz w:val="20"/>
        </w:rPr>
        <w:t>m</w:t>
      </w:r>
      <w:r w:rsidR="00664322">
        <w:rPr>
          <w:rFonts w:ascii="Cambria" w:hAnsi="Cambria"/>
          <w:sz w:val="20"/>
        </w:rPr>
        <w:t>easure of remembrance</w:t>
      </w:r>
      <w:r w:rsidR="00D046E8">
        <w:rPr>
          <w:rFonts w:ascii="Cambria" w:hAnsi="Cambria"/>
          <w:sz w:val="20"/>
        </w:rPr>
        <w:t xml:space="preserve">) of clause </w:t>
      </w:r>
      <w:r w:rsidR="00B409D8">
        <w:rPr>
          <w:rFonts w:ascii="Cambria" w:hAnsi="Cambria"/>
          <w:sz w:val="20"/>
        </w:rPr>
        <w:t xml:space="preserve">five </w:t>
      </w:r>
      <w:r w:rsidR="00D046E8">
        <w:rPr>
          <w:rFonts w:ascii="Cambria" w:hAnsi="Cambria"/>
          <w:sz w:val="20"/>
        </w:rPr>
        <w:t>on satisfaction measures, as well as clause six (health measures), clause seven (guarantees of non-repetition), clause eight (</w:t>
      </w:r>
      <w:r w:rsidR="00FE7DF0">
        <w:rPr>
          <w:rFonts w:ascii="Cambria" w:hAnsi="Cambria"/>
          <w:sz w:val="20"/>
        </w:rPr>
        <w:t xml:space="preserve">financial </w:t>
      </w:r>
      <w:r w:rsidR="00D046E8">
        <w:rPr>
          <w:rFonts w:ascii="Cambria" w:hAnsi="Cambria"/>
          <w:sz w:val="20"/>
        </w:rPr>
        <w:t xml:space="preserve">compensation), and clause nine (publication of the Article 49 report) of the friendly settlement agreement, and bearing in mind the joint request of the parties to proceed with the approval of the agreement prior to </w:t>
      </w:r>
      <w:r w:rsidR="00D442EE">
        <w:rPr>
          <w:rFonts w:ascii="Cambria" w:hAnsi="Cambria"/>
          <w:sz w:val="20"/>
        </w:rPr>
        <w:t>their</w:t>
      </w:r>
      <w:r w:rsidR="00D046E8">
        <w:rPr>
          <w:rFonts w:ascii="Cambria" w:hAnsi="Cambria"/>
          <w:sz w:val="20"/>
        </w:rPr>
        <w:t xml:space="preserve"> </w:t>
      </w:r>
      <w:r w:rsidR="00201846">
        <w:rPr>
          <w:rFonts w:ascii="Cambria" w:hAnsi="Cambria"/>
          <w:sz w:val="20"/>
        </w:rPr>
        <w:t>compliance</w:t>
      </w:r>
      <w:r w:rsidR="00D046E8">
        <w:rPr>
          <w:rFonts w:ascii="Cambria" w:hAnsi="Cambria"/>
          <w:sz w:val="20"/>
        </w:rPr>
        <w:t xml:space="preserve">, the Commission observes that </w:t>
      </w:r>
      <w:r w:rsidR="00AF0E37">
        <w:rPr>
          <w:rFonts w:ascii="Cambria" w:hAnsi="Cambria"/>
          <w:sz w:val="20"/>
        </w:rPr>
        <w:t xml:space="preserve">said </w:t>
      </w:r>
      <w:r w:rsidR="00D046E8">
        <w:rPr>
          <w:rFonts w:ascii="Cambria" w:hAnsi="Cambria"/>
          <w:sz w:val="20"/>
        </w:rPr>
        <w:t>measures must be complied with after the publication of this report. Therefore, it considers, and hereby declares, that</w:t>
      </w:r>
      <w:r w:rsidR="00B31378">
        <w:rPr>
          <w:rFonts w:ascii="Cambria" w:hAnsi="Cambria"/>
          <w:sz w:val="20"/>
        </w:rPr>
        <w:t xml:space="preserve"> their</w:t>
      </w:r>
      <w:r w:rsidR="00D046E8">
        <w:rPr>
          <w:rFonts w:ascii="Cambria" w:hAnsi="Cambria"/>
          <w:sz w:val="20"/>
        </w:rPr>
        <w:t xml:space="preserve"> compliance is still pending. In light of the above, the Commission await</w:t>
      </w:r>
      <w:r w:rsidR="00A86E7C">
        <w:rPr>
          <w:rFonts w:ascii="Cambria" w:hAnsi="Cambria"/>
          <w:sz w:val="20"/>
        </w:rPr>
        <w:t>s</w:t>
      </w:r>
      <w:r w:rsidR="00D046E8">
        <w:rPr>
          <w:rFonts w:ascii="Cambria" w:hAnsi="Cambria"/>
          <w:sz w:val="20"/>
        </w:rPr>
        <w:t xml:space="preserve"> updated information from the parties on their execution subsequent to the approval of this report. </w:t>
      </w:r>
    </w:p>
    <w:p w14:paraId="1A57CA0C" w14:textId="77777777" w:rsidR="00D046E8" w:rsidRPr="000A2C03" w:rsidRDefault="00D046E8" w:rsidP="00D046E8">
      <w:pPr>
        <w:pStyle w:val="paragraph"/>
        <w:spacing w:before="0" w:beforeAutospacing="0" w:after="0" w:afterAutospacing="0"/>
        <w:jc w:val="both"/>
        <w:textAlignment w:val="baseline"/>
        <w:rPr>
          <w:rFonts w:ascii="Cambria" w:hAnsi="Cambria" w:cs="Segoe UI"/>
          <w:sz w:val="20"/>
          <w:szCs w:val="20"/>
          <w:highlight w:val="yellow"/>
        </w:rPr>
      </w:pPr>
    </w:p>
    <w:p w14:paraId="34EEE56F" w14:textId="486E602A" w:rsidR="00D046E8" w:rsidRPr="005913D6" w:rsidRDefault="00A86E7C" w:rsidP="00D046E8">
      <w:pPr>
        <w:pStyle w:val="paragraph"/>
        <w:numPr>
          <w:ilvl w:val="0"/>
          <w:numId w:val="58"/>
        </w:numPr>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t>Based</w:t>
      </w:r>
      <w:r w:rsidR="00D046E8">
        <w:rPr>
          <w:rFonts w:ascii="Cambria" w:hAnsi="Cambria"/>
          <w:sz w:val="20"/>
        </w:rPr>
        <w:t xml:space="preserve"> o</w:t>
      </w:r>
      <w:r>
        <w:rPr>
          <w:rFonts w:ascii="Cambria" w:hAnsi="Cambria"/>
          <w:sz w:val="20"/>
        </w:rPr>
        <w:t>n</w:t>
      </w:r>
      <w:r w:rsidR="00D046E8">
        <w:rPr>
          <w:rFonts w:ascii="Cambria" w:hAnsi="Cambria"/>
          <w:sz w:val="20"/>
        </w:rPr>
        <w:t xml:space="preserve"> the foregoing, the Commission concludes, and hereby declares, that </w:t>
      </w:r>
      <w:r w:rsidR="00A44522">
        <w:rPr>
          <w:rFonts w:ascii="Cambria" w:hAnsi="Cambria"/>
          <w:sz w:val="20"/>
        </w:rPr>
        <w:t xml:space="preserve">section </w:t>
      </w:r>
      <w:r w:rsidR="00D046E8">
        <w:rPr>
          <w:rFonts w:ascii="Cambria" w:hAnsi="Cambria"/>
          <w:sz w:val="20"/>
        </w:rPr>
        <w:t>I (</w:t>
      </w:r>
      <w:r w:rsidR="00A55793">
        <w:rPr>
          <w:rFonts w:ascii="Cambria" w:hAnsi="Cambria"/>
          <w:sz w:val="20"/>
        </w:rPr>
        <w:t xml:space="preserve">ceremony for the </w:t>
      </w:r>
      <w:r w:rsidR="00D046E8">
        <w:rPr>
          <w:rFonts w:ascii="Cambria" w:hAnsi="Cambria"/>
          <w:sz w:val="20"/>
        </w:rPr>
        <w:t>acknowledgment of responsibility), and IV (commemorative plaque) of clause five have been</w:t>
      </w:r>
      <w:r w:rsidR="00A55793">
        <w:rPr>
          <w:rFonts w:ascii="Cambria" w:hAnsi="Cambria"/>
          <w:sz w:val="20"/>
        </w:rPr>
        <w:t xml:space="preserve"> met with full compliance</w:t>
      </w:r>
      <w:r w:rsidR="00D046E8">
        <w:rPr>
          <w:rFonts w:ascii="Cambria" w:hAnsi="Cambria"/>
          <w:sz w:val="20"/>
        </w:rPr>
        <w:t xml:space="preserve">. On the other hand, the Commission considers, and hereby declares, that compliance is still pending with </w:t>
      </w:r>
      <w:r w:rsidR="00A44522">
        <w:rPr>
          <w:rFonts w:ascii="Cambria" w:hAnsi="Cambria"/>
          <w:sz w:val="20"/>
        </w:rPr>
        <w:t xml:space="preserve">sections </w:t>
      </w:r>
      <w:r w:rsidR="00D046E8">
        <w:rPr>
          <w:rFonts w:ascii="Cambria" w:hAnsi="Cambria"/>
          <w:sz w:val="20"/>
        </w:rPr>
        <w:t>II (preservation, custody, and conservation measure) and III (measure</w:t>
      </w:r>
      <w:r w:rsidR="003238ED">
        <w:rPr>
          <w:rFonts w:ascii="Cambria" w:hAnsi="Cambria"/>
          <w:sz w:val="20"/>
        </w:rPr>
        <w:t xml:space="preserve"> of remembrance</w:t>
      </w:r>
      <w:r w:rsidR="00D046E8">
        <w:rPr>
          <w:rFonts w:ascii="Cambria" w:hAnsi="Cambria"/>
          <w:sz w:val="20"/>
        </w:rPr>
        <w:t>) of clause five on measures of satisfaction, as well as clauses six (health measures), seven (guarantees of non-repetition), eight (</w:t>
      </w:r>
      <w:r w:rsidR="003238ED">
        <w:rPr>
          <w:rFonts w:ascii="Cambria" w:hAnsi="Cambria"/>
          <w:sz w:val="20"/>
        </w:rPr>
        <w:t xml:space="preserve">financial </w:t>
      </w:r>
      <w:r w:rsidR="00D046E8">
        <w:rPr>
          <w:rFonts w:ascii="Cambria" w:hAnsi="Cambria"/>
          <w:sz w:val="20"/>
        </w:rPr>
        <w:t>compensation), and nine (publication of the Article 49 report) of the friendly settlement agreement. Accordingly, the Commission considers, and hereby declares, that the friendly settlement agreement has been partially implemented. Finally, the Commission reiterates that the rest of the content of the agreement is of a declarative nature, and therefore does not require supervision.</w:t>
      </w:r>
    </w:p>
    <w:p w14:paraId="0D991B79" w14:textId="77777777" w:rsidR="002A65AC" w:rsidRPr="00D046E8"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975569" w:rsidRDefault="00FA675D" w:rsidP="007E04A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975569">
        <w:rPr>
          <w:rFonts w:eastAsia="Times New Roman" w:cstheme="minorHAnsi"/>
          <w:b/>
          <w:bCs/>
          <w:color w:val="000000" w:themeColor="text1"/>
          <w:sz w:val="20"/>
          <w:szCs w:val="20"/>
          <w:lang w:eastAsia="es-ES_tradnl"/>
        </w:rPr>
        <w:t>CONCLUSIONS</w:t>
      </w:r>
    </w:p>
    <w:p w14:paraId="628FF974" w14:textId="77777777" w:rsidR="00DA37B6" w:rsidRPr="00975569"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975569" w:rsidRDefault="00805112" w:rsidP="007E04AC">
      <w:pPr>
        <w:pStyle w:val="ListParagraph"/>
        <w:numPr>
          <w:ilvl w:val="0"/>
          <w:numId w:val="57"/>
        </w:numPr>
        <w:tabs>
          <w:tab w:val="left" w:pos="720"/>
        </w:tabs>
        <w:ind w:left="0" w:firstLine="709"/>
        <w:jc w:val="both"/>
        <w:rPr>
          <w:rFonts w:eastAsia="MS Mincho"/>
          <w:sz w:val="20"/>
          <w:szCs w:val="20"/>
        </w:rPr>
      </w:pPr>
      <w:r w:rsidRPr="00975569">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975569"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975569" w:rsidRDefault="00805112" w:rsidP="00805112">
      <w:pPr>
        <w:tabs>
          <w:tab w:val="left" w:pos="720"/>
        </w:tabs>
        <w:ind w:firstLine="709"/>
        <w:jc w:val="both"/>
        <w:rPr>
          <w:rFonts w:ascii="Cambria" w:eastAsia="MS Mincho" w:hAnsi="Cambria" w:cs="Cambria"/>
          <w:sz w:val="20"/>
          <w:szCs w:val="20"/>
        </w:rPr>
      </w:pPr>
      <w:r w:rsidRPr="00975569">
        <w:rPr>
          <w:rFonts w:ascii="Cambria" w:hAnsi="Cambria"/>
          <w:sz w:val="20"/>
          <w:szCs w:val="20"/>
        </w:rPr>
        <w:t xml:space="preserve">2. </w:t>
      </w:r>
      <w:r w:rsidRPr="00975569">
        <w:tab/>
      </w:r>
      <w:r w:rsidRPr="00975569">
        <w:rPr>
          <w:rFonts w:ascii="Cambria" w:hAnsi="Cambria"/>
          <w:sz w:val="20"/>
          <w:szCs w:val="20"/>
        </w:rPr>
        <w:t xml:space="preserve">Based on the considerations and conclusions contained in this report, </w:t>
      </w:r>
    </w:p>
    <w:p w14:paraId="4861C3C9" w14:textId="77F656A3" w:rsidR="00DA37B6" w:rsidRPr="00975569"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975569"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975569" w:rsidRDefault="00FA675D" w:rsidP="00B92C68">
      <w:pPr>
        <w:pStyle w:val="paragraph"/>
        <w:spacing w:before="0" w:beforeAutospacing="0" w:after="0" w:afterAutospacing="0"/>
        <w:jc w:val="center"/>
        <w:textAlignment w:val="baseline"/>
        <w:rPr>
          <w:rFonts w:ascii="Cambria" w:hAnsi="Cambria" w:cstheme="minorHAnsi"/>
          <w:b/>
          <w:bCs/>
          <w:color w:val="000000" w:themeColor="text1"/>
          <w:sz w:val="20"/>
          <w:szCs w:val="20"/>
          <w:lang w:eastAsia="es-ES_tradnl"/>
        </w:rPr>
      </w:pPr>
      <w:r w:rsidRPr="00975569">
        <w:rPr>
          <w:rFonts w:ascii="Cambria" w:hAnsi="Cambria" w:cstheme="minorHAnsi"/>
          <w:b/>
          <w:bCs/>
          <w:color w:val="000000" w:themeColor="text1"/>
          <w:sz w:val="20"/>
          <w:szCs w:val="20"/>
          <w:lang w:eastAsia="es-ES_tradnl"/>
        </w:rPr>
        <w:t>THE INTER-AMERICAN COMMISSION ON HUMAN RIGHTS</w:t>
      </w:r>
    </w:p>
    <w:p w14:paraId="710D6B65" w14:textId="77777777" w:rsidR="00FA675D" w:rsidRPr="00975569"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FA675D" w:rsidRDefault="00FA675D" w:rsidP="00FA675D">
      <w:pPr>
        <w:ind w:firstLine="720"/>
        <w:jc w:val="both"/>
        <w:rPr>
          <w:rFonts w:ascii="Cambria" w:eastAsia="Times New Roman" w:hAnsi="Cambria" w:cstheme="minorHAnsi"/>
          <w:b/>
          <w:bCs/>
          <w:color w:val="000000" w:themeColor="text1"/>
          <w:sz w:val="20"/>
          <w:szCs w:val="20"/>
          <w:lang w:val="es-CO" w:eastAsia="es-ES_tradnl"/>
        </w:rPr>
      </w:pPr>
      <w:r w:rsidRPr="00975569">
        <w:rPr>
          <w:rFonts w:ascii="Cambria" w:eastAsia="Times New Roman" w:hAnsi="Cambria" w:cstheme="minorHAnsi"/>
          <w:b/>
          <w:bCs/>
          <w:color w:val="000000" w:themeColor="text1"/>
          <w:sz w:val="20"/>
          <w:szCs w:val="20"/>
          <w:bdr w:val="none" w:sz="0" w:space="0" w:color="auto"/>
          <w:lang w:val="es-CO" w:eastAsia="es-ES_tradnl"/>
        </w:rPr>
        <w:t>DECIDE</w:t>
      </w:r>
      <w:r w:rsidRPr="00975569">
        <w:rPr>
          <w:rFonts w:ascii="Cambria" w:eastAsia="Times New Roman" w:hAnsi="Cambria" w:cstheme="minorHAnsi"/>
          <w:b/>
          <w:bCs/>
          <w:color w:val="000000" w:themeColor="text1"/>
          <w:sz w:val="20"/>
          <w:szCs w:val="20"/>
          <w:lang w:val="es-CO" w:eastAsia="es-ES_tradnl"/>
        </w:rPr>
        <w:t>S</w:t>
      </w:r>
      <w:r w:rsidRPr="00975569">
        <w:rPr>
          <w:rFonts w:ascii="Cambria" w:eastAsia="Times New Roman" w:hAnsi="Cambria" w:cstheme="minorHAnsi"/>
          <w:b/>
          <w:bCs/>
          <w:color w:val="000000" w:themeColor="text1"/>
          <w:sz w:val="20"/>
          <w:szCs w:val="20"/>
          <w:bdr w:val="none" w:sz="0" w:space="0" w:color="auto"/>
          <w:lang w:val="es-CO" w:eastAsia="es-ES_tradnl"/>
        </w:rPr>
        <w:t>:</w:t>
      </w:r>
      <w:r w:rsidRPr="00FA675D">
        <w:rPr>
          <w:rFonts w:ascii="Cambria" w:eastAsia="Times New Roman" w:hAnsi="Cambria" w:cstheme="minorHAnsi"/>
          <w:b/>
          <w:bCs/>
          <w:color w:val="000000" w:themeColor="text1"/>
          <w:sz w:val="20"/>
          <w:szCs w:val="20"/>
          <w:bdr w:val="none" w:sz="0" w:space="0" w:color="auto"/>
          <w:lang w:val="es-CO" w:eastAsia="es-ES_tradnl"/>
        </w:rPr>
        <w:t xml:space="preserve"> </w:t>
      </w:r>
    </w:p>
    <w:p w14:paraId="1FA2BB0B" w14:textId="77777777" w:rsidR="00FA675D" w:rsidRDefault="00FA675D" w:rsidP="00145EDC">
      <w:pPr>
        <w:tabs>
          <w:tab w:val="center" w:pos="5400"/>
        </w:tabs>
        <w:suppressAutoHyphens/>
        <w:spacing w:line="276" w:lineRule="auto"/>
        <w:rPr>
          <w:rFonts w:asciiTheme="majorHAnsi" w:hAnsiTheme="majorHAnsi"/>
          <w:sz w:val="20"/>
          <w:szCs w:val="20"/>
        </w:rPr>
      </w:pPr>
    </w:p>
    <w:p w14:paraId="4C8D01BD" w14:textId="77777777" w:rsidR="00CF6BFE" w:rsidRDefault="00CF6BFE" w:rsidP="00CF6BFE">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t xml:space="preserve">To approve the terms of the friendly settlement agreement that the parties signed on September 26, 2023. </w:t>
      </w:r>
    </w:p>
    <w:p w14:paraId="6246F58C" w14:textId="77777777" w:rsidR="00CF6BFE" w:rsidRPr="000A2C03" w:rsidRDefault="00CF6BFE" w:rsidP="00CF6BFE">
      <w:pPr>
        <w:pStyle w:val="paragraph"/>
        <w:tabs>
          <w:tab w:val="num" w:pos="720"/>
        </w:tabs>
        <w:spacing w:before="0" w:beforeAutospacing="0" w:after="0" w:afterAutospacing="0"/>
        <w:jc w:val="both"/>
        <w:textAlignment w:val="baseline"/>
        <w:rPr>
          <w:rFonts w:ascii="Cambria" w:hAnsi="Cambria" w:cs="Segoe UI"/>
          <w:sz w:val="20"/>
          <w:szCs w:val="20"/>
        </w:rPr>
      </w:pPr>
    </w:p>
    <w:p w14:paraId="5746EF2C" w14:textId="60EB419E" w:rsidR="00CF6BFE" w:rsidRPr="005913D6" w:rsidRDefault="00CF6BFE" w:rsidP="00CF6BFE">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t>To declare full compliance with s</w:t>
      </w:r>
      <w:r w:rsidR="002B4F8D">
        <w:rPr>
          <w:rFonts w:ascii="Cambria" w:hAnsi="Cambria"/>
          <w:sz w:val="20"/>
        </w:rPr>
        <w:t>ection</w:t>
      </w:r>
      <w:r>
        <w:rPr>
          <w:rFonts w:ascii="Cambria" w:hAnsi="Cambria"/>
          <w:sz w:val="20"/>
        </w:rPr>
        <w:t xml:space="preserve"> I (</w:t>
      </w:r>
      <w:r w:rsidR="003238ED">
        <w:rPr>
          <w:rFonts w:ascii="Cambria" w:hAnsi="Cambria"/>
          <w:sz w:val="20"/>
        </w:rPr>
        <w:t xml:space="preserve">ceremony for the </w:t>
      </w:r>
      <w:r>
        <w:rPr>
          <w:rFonts w:ascii="Cambria" w:hAnsi="Cambria"/>
          <w:sz w:val="20"/>
        </w:rPr>
        <w:t xml:space="preserve">acknowledgment of responsibility) and IV (commemoratory plaque) of clause </w:t>
      </w:r>
      <w:r w:rsidR="003238ED">
        <w:rPr>
          <w:rFonts w:ascii="Cambria" w:hAnsi="Cambria"/>
          <w:sz w:val="20"/>
        </w:rPr>
        <w:t xml:space="preserve">five </w:t>
      </w:r>
      <w:r>
        <w:rPr>
          <w:rFonts w:ascii="Cambria" w:hAnsi="Cambria"/>
          <w:sz w:val="20"/>
        </w:rPr>
        <w:t xml:space="preserve">of the friendly settlement agreement, </w:t>
      </w:r>
      <w:r w:rsidR="008372D1">
        <w:rPr>
          <w:rFonts w:ascii="Cambria" w:hAnsi="Cambria"/>
          <w:sz w:val="20"/>
        </w:rPr>
        <w:t xml:space="preserve">as per </w:t>
      </w:r>
      <w:r>
        <w:rPr>
          <w:rFonts w:ascii="Cambria" w:hAnsi="Cambria"/>
          <w:sz w:val="20"/>
        </w:rPr>
        <w:t xml:space="preserve">the analysis contained in this report. </w:t>
      </w:r>
    </w:p>
    <w:p w14:paraId="575259BA" w14:textId="77777777" w:rsidR="00CF6BFE" w:rsidRPr="000A2C03" w:rsidRDefault="00CF6BFE" w:rsidP="00CF6BFE">
      <w:pPr>
        <w:pStyle w:val="paragraph"/>
        <w:spacing w:before="0" w:beforeAutospacing="0" w:after="0" w:afterAutospacing="0"/>
        <w:jc w:val="both"/>
        <w:textAlignment w:val="baseline"/>
        <w:rPr>
          <w:rFonts w:ascii="Cambria" w:hAnsi="Cambria" w:cs="Segoe UI"/>
          <w:sz w:val="20"/>
          <w:szCs w:val="20"/>
        </w:rPr>
      </w:pPr>
    </w:p>
    <w:p w14:paraId="0D49203F" w14:textId="33402D0E" w:rsidR="00CF6BFE" w:rsidRPr="005913D6" w:rsidRDefault="00CF6BFE" w:rsidP="00CF6BFE">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t xml:space="preserve">To declare that compliance with </w:t>
      </w:r>
      <w:r w:rsidR="002B4F8D">
        <w:rPr>
          <w:rFonts w:ascii="Cambria" w:hAnsi="Cambria"/>
          <w:sz w:val="20"/>
        </w:rPr>
        <w:t>sections</w:t>
      </w:r>
      <w:r>
        <w:rPr>
          <w:rFonts w:ascii="Cambria" w:hAnsi="Cambria"/>
          <w:sz w:val="20"/>
        </w:rPr>
        <w:t xml:space="preserve"> II (preservation, custody, and conservation measures of the friendly settlement agreement) and III (measure</w:t>
      </w:r>
      <w:r w:rsidR="003238ED">
        <w:rPr>
          <w:rFonts w:ascii="Cambria" w:hAnsi="Cambria"/>
          <w:sz w:val="20"/>
        </w:rPr>
        <w:t xml:space="preserve"> of remembrance</w:t>
      </w:r>
      <w:r>
        <w:rPr>
          <w:rFonts w:ascii="Cambria" w:hAnsi="Cambria"/>
          <w:sz w:val="20"/>
        </w:rPr>
        <w:t xml:space="preserve">) of clause </w:t>
      </w:r>
      <w:r w:rsidR="008C2F3F">
        <w:rPr>
          <w:rFonts w:ascii="Cambria" w:hAnsi="Cambria"/>
          <w:sz w:val="20"/>
        </w:rPr>
        <w:t xml:space="preserve">five </w:t>
      </w:r>
      <w:r>
        <w:rPr>
          <w:rFonts w:ascii="Cambria" w:hAnsi="Cambria"/>
          <w:sz w:val="20"/>
        </w:rPr>
        <w:t xml:space="preserve">on satisfaction measures, as well as </w:t>
      </w:r>
      <w:r w:rsidR="008C2F3F">
        <w:rPr>
          <w:rFonts w:ascii="Cambria" w:hAnsi="Cambria"/>
          <w:sz w:val="20"/>
        </w:rPr>
        <w:t>cl</w:t>
      </w:r>
      <w:r w:rsidR="000011B3">
        <w:rPr>
          <w:rFonts w:ascii="Cambria" w:hAnsi="Cambria"/>
          <w:sz w:val="20"/>
        </w:rPr>
        <w:t>a</w:t>
      </w:r>
      <w:r w:rsidR="008C2F3F">
        <w:rPr>
          <w:rFonts w:ascii="Cambria" w:hAnsi="Cambria"/>
          <w:sz w:val="20"/>
        </w:rPr>
        <w:t>use</w:t>
      </w:r>
      <w:r w:rsidR="000011B3">
        <w:rPr>
          <w:rFonts w:ascii="Cambria" w:hAnsi="Cambria"/>
          <w:sz w:val="20"/>
        </w:rPr>
        <w:t>s</w:t>
      </w:r>
      <w:r w:rsidR="008C2F3F">
        <w:rPr>
          <w:rFonts w:ascii="Cambria" w:hAnsi="Cambria"/>
          <w:sz w:val="20"/>
        </w:rPr>
        <w:t xml:space="preserve"> six </w:t>
      </w:r>
      <w:r>
        <w:rPr>
          <w:rFonts w:ascii="Cambria" w:hAnsi="Cambria"/>
          <w:sz w:val="20"/>
        </w:rPr>
        <w:t>(health measures), seven (guarantees of non-repetition), eight (</w:t>
      </w:r>
      <w:r w:rsidR="008C2F3F">
        <w:rPr>
          <w:rFonts w:ascii="Cambria" w:hAnsi="Cambria"/>
          <w:sz w:val="20"/>
        </w:rPr>
        <w:t xml:space="preserve">financial </w:t>
      </w:r>
      <w:r>
        <w:rPr>
          <w:rFonts w:ascii="Cambria" w:hAnsi="Cambria"/>
          <w:sz w:val="20"/>
        </w:rPr>
        <w:t>compensation) and nin</w:t>
      </w:r>
      <w:r w:rsidR="008C2F3F">
        <w:rPr>
          <w:rFonts w:ascii="Cambria" w:hAnsi="Cambria"/>
          <w:sz w:val="20"/>
        </w:rPr>
        <w:t>e</w:t>
      </w:r>
      <w:r>
        <w:rPr>
          <w:rFonts w:ascii="Cambria" w:hAnsi="Cambria"/>
          <w:sz w:val="20"/>
        </w:rPr>
        <w:t xml:space="preserve"> (publication of the Article 49 report) of the friendly settlement agreement</w:t>
      </w:r>
      <w:r w:rsidR="009B0018">
        <w:rPr>
          <w:rFonts w:ascii="Cambria" w:hAnsi="Cambria"/>
          <w:sz w:val="20"/>
        </w:rPr>
        <w:t>,</w:t>
      </w:r>
      <w:r>
        <w:rPr>
          <w:rFonts w:ascii="Cambria" w:hAnsi="Cambria"/>
          <w:sz w:val="20"/>
        </w:rPr>
        <w:t xml:space="preserve"> </w:t>
      </w:r>
      <w:r w:rsidR="00B07EF2">
        <w:rPr>
          <w:rFonts w:ascii="Cambria" w:hAnsi="Cambria"/>
          <w:sz w:val="20"/>
        </w:rPr>
        <w:t>is</w:t>
      </w:r>
      <w:r>
        <w:rPr>
          <w:rFonts w:ascii="Cambria" w:hAnsi="Cambria"/>
          <w:sz w:val="20"/>
        </w:rPr>
        <w:t xml:space="preserve"> still pending, </w:t>
      </w:r>
      <w:r w:rsidR="008372D1">
        <w:rPr>
          <w:rFonts w:ascii="Cambria" w:hAnsi="Cambria"/>
          <w:sz w:val="20"/>
        </w:rPr>
        <w:t xml:space="preserve">as per </w:t>
      </w:r>
      <w:r>
        <w:rPr>
          <w:rFonts w:ascii="Cambria" w:hAnsi="Cambria"/>
          <w:sz w:val="20"/>
        </w:rPr>
        <w:t>the analysis contained in this report.</w:t>
      </w:r>
    </w:p>
    <w:p w14:paraId="4966C509" w14:textId="77777777" w:rsidR="00CF6BFE" w:rsidRPr="000A2C03" w:rsidRDefault="00CF6BFE" w:rsidP="00CF6BFE">
      <w:pPr>
        <w:pStyle w:val="paragraph"/>
        <w:spacing w:before="0" w:beforeAutospacing="0" w:after="0" w:afterAutospacing="0"/>
        <w:jc w:val="both"/>
        <w:textAlignment w:val="baseline"/>
        <w:rPr>
          <w:rFonts w:ascii="Cambria" w:hAnsi="Cambria" w:cs="Segoe UI"/>
          <w:sz w:val="20"/>
          <w:szCs w:val="20"/>
        </w:rPr>
      </w:pPr>
    </w:p>
    <w:p w14:paraId="06A1D44C" w14:textId="1F2C80C4" w:rsidR="00CF6BFE" w:rsidRPr="005913D6" w:rsidRDefault="00CF6BFE" w:rsidP="00CF6BFE">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t xml:space="preserve">To </w:t>
      </w:r>
      <w:r w:rsidR="0084473F">
        <w:rPr>
          <w:rFonts w:ascii="Cambria" w:hAnsi="Cambria"/>
          <w:sz w:val="20"/>
        </w:rPr>
        <w:t>find</w:t>
      </w:r>
      <w:r>
        <w:rPr>
          <w:rFonts w:ascii="Cambria" w:hAnsi="Cambria"/>
          <w:sz w:val="20"/>
        </w:rPr>
        <w:t xml:space="preserve"> that the friendly settlement agreement has </w:t>
      </w:r>
      <w:r w:rsidR="004E108D">
        <w:rPr>
          <w:rFonts w:ascii="Cambria" w:hAnsi="Cambria"/>
          <w:sz w:val="20"/>
        </w:rPr>
        <w:t>met</w:t>
      </w:r>
      <w:r>
        <w:rPr>
          <w:rFonts w:ascii="Cambria" w:hAnsi="Cambria"/>
          <w:sz w:val="20"/>
        </w:rPr>
        <w:t xml:space="preserve"> partial compliance, </w:t>
      </w:r>
      <w:r w:rsidR="00456D6C">
        <w:rPr>
          <w:rFonts w:ascii="Cambria" w:hAnsi="Cambria"/>
          <w:sz w:val="20"/>
        </w:rPr>
        <w:t xml:space="preserve">as per </w:t>
      </w:r>
      <w:r>
        <w:rPr>
          <w:rFonts w:ascii="Cambria" w:hAnsi="Cambria"/>
          <w:sz w:val="20"/>
        </w:rPr>
        <w:t>the analysis contained in this report.</w:t>
      </w:r>
    </w:p>
    <w:p w14:paraId="095A1BEA" w14:textId="77777777" w:rsidR="00CF6BFE" w:rsidRPr="000A2C03" w:rsidRDefault="00CF6BFE" w:rsidP="00CF6BFE">
      <w:pPr>
        <w:pStyle w:val="paragraph"/>
        <w:spacing w:before="0" w:beforeAutospacing="0" w:after="0" w:afterAutospacing="0"/>
        <w:jc w:val="both"/>
        <w:textAlignment w:val="baseline"/>
        <w:rPr>
          <w:rFonts w:ascii="Cambria" w:hAnsi="Cambria" w:cs="Segoe UI"/>
          <w:sz w:val="20"/>
          <w:szCs w:val="20"/>
        </w:rPr>
      </w:pPr>
    </w:p>
    <w:p w14:paraId="60ED8B3D" w14:textId="2FD6AF6E" w:rsidR="00CF6BFE" w:rsidRPr="007D000B" w:rsidRDefault="00CF6BFE" w:rsidP="00CF6BFE">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Pr>
          <w:rFonts w:ascii="Cambria" w:hAnsi="Cambria"/>
          <w:sz w:val="20"/>
        </w:rPr>
        <w:lastRenderedPageBreak/>
        <w:t xml:space="preserve">To continue to monitor the commitments undertaken in </w:t>
      </w:r>
      <w:r w:rsidR="002B4F8D">
        <w:rPr>
          <w:rFonts w:ascii="Cambria" w:hAnsi="Cambria"/>
          <w:sz w:val="20"/>
        </w:rPr>
        <w:t>sections</w:t>
      </w:r>
      <w:r>
        <w:rPr>
          <w:rFonts w:ascii="Cambria" w:hAnsi="Cambria"/>
          <w:sz w:val="20"/>
        </w:rPr>
        <w:t xml:space="preserve"> II (preservation, custody, and conservation measures of the friendly settlement agreement)</w:t>
      </w:r>
      <w:r w:rsidR="002B4F8D">
        <w:rPr>
          <w:rFonts w:ascii="Cambria" w:hAnsi="Cambria"/>
          <w:sz w:val="20"/>
        </w:rPr>
        <w:t>,</w:t>
      </w:r>
      <w:r>
        <w:rPr>
          <w:rFonts w:ascii="Cambria" w:hAnsi="Cambria"/>
          <w:sz w:val="20"/>
        </w:rPr>
        <w:t xml:space="preserve"> and III (measure</w:t>
      </w:r>
      <w:r w:rsidR="000011B3">
        <w:rPr>
          <w:rFonts w:ascii="Cambria" w:hAnsi="Cambria"/>
          <w:sz w:val="20"/>
        </w:rPr>
        <w:t xml:space="preserve"> of remembrance</w:t>
      </w:r>
      <w:r>
        <w:rPr>
          <w:rFonts w:ascii="Cambria" w:hAnsi="Cambria"/>
          <w:sz w:val="20"/>
        </w:rPr>
        <w:t xml:space="preserve">) of clause </w:t>
      </w:r>
      <w:r w:rsidR="00DB7515">
        <w:rPr>
          <w:rFonts w:ascii="Cambria" w:hAnsi="Cambria"/>
          <w:sz w:val="20"/>
        </w:rPr>
        <w:t xml:space="preserve">five </w:t>
      </w:r>
      <w:r>
        <w:rPr>
          <w:rFonts w:ascii="Cambria" w:hAnsi="Cambria"/>
          <w:sz w:val="20"/>
        </w:rPr>
        <w:t xml:space="preserve">on satisfaction measures, as well as monitoring of </w:t>
      </w:r>
      <w:r w:rsidR="00DB7515">
        <w:rPr>
          <w:rFonts w:ascii="Cambria" w:hAnsi="Cambria"/>
          <w:sz w:val="20"/>
        </w:rPr>
        <w:t xml:space="preserve">clause six </w:t>
      </w:r>
      <w:r>
        <w:rPr>
          <w:rFonts w:ascii="Cambria" w:hAnsi="Cambria"/>
          <w:sz w:val="20"/>
        </w:rPr>
        <w:t>(health measures), seven</w:t>
      </w:r>
      <w:r w:rsidR="00DB7515">
        <w:rPr>
          <w:rFonts w:ascii="Cambria" w:hAnsi="Cambria"/>
          <w:sz w:val="20"/>
        </w:rPr>
        <w:t xml:space="preserve"> </w:t>
      </w:r>
      <w:r>
        <w:rPr>
          <w:rFonts w:ascii="Cambria" w:hAnsi="Cambria"/>
          <w:sz w:val="20"/>
        </w:rPr>
        <w:t>(guarantees of non-repetition), eight (</w:t>
      </w:r>
      <w:r w:rsidR="00DB7515">
        <w:rPr>
          <w:rFonts w:ascii="Cambria" w:hAnsi="Cambria"/>
          <w:sz w:val="20"/>
        </w:rPr>
        <w:t xml:space="preserve">financial </w:t>
      </w:r>
      <w:r>
        <w:rPr>
          <w:rFonts w:ascii="Cambria" w:hAnsi="Cambria"/>
          <w:sz w:val="20"/>
        </w:rPr>
        <w:t>compensation), and nin</w:t>
      </w:r>
      <w:r w:rsidR="00DB7515">
        <w:rPr>
          <w:rFonts w:ascii="Cambria" w:hAnsi="Cambria"/>
          <w:sz w:val="20"/>
        </w:rPr>
        <w:t>e</w:t>
      </w:r>
      <w:r>
        <w:rPr>
          <w:rFonts w:ascii="Cambria" w:hAnsi="Cambria"/>
          <w:sz w:val="20"/>
        </w:rPr>
        <w:t xml:space="preserve"> (publication of the Article 49 report) of the friendly settlement agreement, in accordance with the analysis contained in this report. To that end, to remind the parties of their commitment to</w:t>
      </w:r>
      <w:r w:rsidR="005459C5">
        <w:rPr>
          <w:rFonts w:ascii="Cambria" w:hAnsi="Cambria"/>
          <w:sz w:val="20"/>
        </w:rPr>
        <w:t xml:space="preserve"> report periodically </w:t>
      </w:r>
      <w:r w:rsidR="00620451">
        <w:rPr>
          <w:rFonts w:ascii="Cambria" w:hAnsi="Cambria"/>
          <w:sz w:val="20"/>
        </w:rPr>
        <w:t xml:space="preserve">to </w:t>
      </w:r>
      <w:r>
        <w:rPr>
          <w:rFonts w:ascii="Cambria" w:hAnsi="Cambria"/>
          <w:sz w:val="20"/>
        </w:rPr>
        <w:t xml:space="preserve">the IACHR </w:t>
      </w:r>
      <w:r w:rsidR="002C24F2">
        <w:rPr>
          <w:rFonts w:ascii="Cambria" w:hAnsi="Cambria"/>
          <w:sz w:val="20"/>
        </w:rPr>
        <w:t>on its implementation</w:t>
      </w:r>
      <w:r>
        <w:rPr>
          <w:rFonts w:ascii="Cambria" w:hAnsi="Cambria"/>
          <w:sz w:val="20"/>
        </w:rPr>
        <w:t xml:space="preserve">. </w:t>
      </w:r>
    </w:p>
    <w:p w14:paraId="14039BF3" w14:textId="77777777" w:rsidR="00CF6BFE" w:rsidRPr="000A2C03" w:rsidRDefault="00CF6BFE" w:rsidP="00CF6BFE">
      <w:pPr>
        <w:pStyle w:val="paragraph"/>
        <w:spacing w:before="0" w:beforeAutospacing="0" w:after="0" w:afterAutospacing="0"/>
        <w:jc w:val="both"/>
        <w:textAlignment w:val="baseline"/>
        <w:rPr>
          <w:rFonts w:ascii="Cambria" w:hAnsi="Cambria" w:cs="Segoe UI"/>
          <w:color w:val="000000"/>
          <w:sz w:val="20"/>
          <w:szCs w:val="20"/>
          <w:highlight w:val="yellow"/>
        </w:rPr>
      </w:pPr>
    </w:p>
    <w:p w14:paraId="69826542" w14:textId="5CB16087" w:rsidR="00CF6BFE" w:rsidRPr="005913D6" w:rsidRDefault="00CF6BFE" w:rsidP="00CF6BFE">
      <w:pPr>
        <w:pStyle w:val="paragraph"/>
        <w:numPr>
          <w:ilvl w:val="0"/>
          <w:numId w:val="56"/>
        </w:numPr>
        <w:spacing w:before="0" w:beforeAutospacing="0" w:after="0" w:afterAutospacing="0"/>
        <w:ind w:left="0" w:firstLine="720"/>
        <w:jc w:val="both"/>
        <w:textAlignment w:val="baseline"/>
        <w:rPr>
          <w:rFonts w:ascii="Cambria" w:hAnsi="Cambria" w:cs="Segoe UI"/>
          <w:color w:val="000000"/>
          <w:sz w:val="20"/>
          <w:szCs w:val="20"/>
        </w:rPr>
      </w:pPr>
      <w:r>
        <w:rPr>
          <w:rFonts w:ascii="Cambria" w:hAnsi="Cambria"/>
          <w:color w:val="000000"/>
          <w:sz w:val="20"/>
        </w:rPr>
        <w:t>To publish th</w:t>
      </w:r>
      <w:r w:rsidR="00597F3E">
        <w:rPr>
          <w:rFonts w:ascii="Cambria" w:hAnsi="Cambria"/>
          <w:color w:val="000000"/>
          <w:sz w:val="20"/>
        </w:rPr>
        <w:t>is</w:t>
      </w:r>
      <w:r>
        <w:rPr>
          <w:rFonts w:ascii="Cambria" w:hAnsi="Cambria"/>
          <w:color w:val="000000"/>
          <w:sz w:val="20"/>
        </w:rPr>
        <w:t xml:space="preserve"> report and include it in its Annual Report to the General Assembly of the OAS.</w:t>
      </w:r>
    </w:p>
    <w:p w14:paraId="0C70E7AA" w14:textId="77777777" w:rsidR="00C57C8E" w:rsidRDefault="00C57C8E" w:rsidP="00145EDC">
      <w:pPr>
        <w:tabs>
          <w:tab w:val="center" w:pos="5400"/>
        </w:tabs>
        <w:suppressAutoHyphens/>
        <w:spacing w:line="276" w:lineRule="auto"/>
        <w:rPr>
          <w:rFonts w:asciiTheme="majorHAnsi" w:hAnsiTheme="majorHAnsi"/>
          <w:sz w:val="20"/>
          <w:szCs w:val="20"/>
        </w:rPr>
      </w:pPr>
    </w:p>
    <w:p w14:paraId="308C6400" w14:textId="3AC4E959" w:rsidR="00752942" w:rsidRDefault="00752942" w:rsidP="00752942">
      <w:pPr>
        <w:suppressAutoHyphens/>
        <w:ind w:firstLine="720"/>
        <w:jc w:val="both"/>
        <w:rPr>
          <w:rStyle w:val="normaltextrun"/>
          <w:rFonts w:ascii="Cambria" w:hAnsi="Cambria" w:cs="Segoe UI"/>
        </w:rPr>
      </w:pPr>
      <w:r>
        <w:rPr>
          <w:rFonts w:ascii="Cambria" w:hAnsi="Cambria"/>
          <w:spacing w:val="-2"/>
          <w:sz w:val="20"/>
        </w:rPr>
        <w:t>Approved by the Inter-American Commission on Human Rights on the 24</w:t>
      </w:r>
      <w:r w:rsidRPr="00752942">
        <w:rPr>
          <w:rFonts w:ascii="Cambria" w:hAnsi="Cambria"/>
          <w:spacing w:val="-2"/>
          <w:sz w:val="20"/>
          <w:vertAlign w:val="superscript"/>
        </w:rPr>
        <w:t>th</w:t>
      </w:r>
      <w:r>
        <w:rPr>
          <w:rFonts w:ascii="Cambria" w:hAnsi="Cambria"/>
          <w:spacing w:val="-2"/>
          <w:sz w:val="20"/>
        </w:rPr>
        <w:t xml:space="preserve"> day of the month of October, 2024.  (Signed:) </w:t>
      </w:r>
      <w:r>
        <w:rPr>
          <w:rStyle w:val="normaltextrun"/>
          <w:rFonts w:ascii="Cambria" w:hAnsi="Cambria" w:cs="Segoe UI"/>
          <w:sz w:val="20"/>
          <w:szCs w:val="20"/>
        </w:rPr>
        <w:t>Roberta Clarke, President; José Luis Caballero Ochoa, Second Vice President; Edgar Stuardo Ralón Orellana, Arif Bulkan, Andrea Pochak, and Gloria Monique de Mees, Commissioners.</w:t>
      </w:r>
    </w:p>
    <w:p w14:paraId="66A8D314" w14:textId="77777777" w:rsidR="00752942" w:rsidRPr="00CF6BFE" w:rsidRDefault="00752942" w:rsidP="00145EDC">
      <w:pPr>
        <w:tabs>
          <w:tab w:val="center" w:pos="5400"/>
        </w:tabs>
        <w:suppressAutoHyphens/>
        <w:spacing w:line="276" w:lineRule="auto"/>
        <w:rPr>
          <w:rFonts w:asciiTheme="majorHAnsi" w:hAnsiTheme="majorHAnsi"/>
          <w:sz w:val="20"/>
          <w:szCs w:val="20"/>
        </w:rPr>
      </w:pPr>
    </w:p>
    <w:sectPr w:rsidR="00752942" w:rsidRPr="00CF6BFE"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00F7" w14:textId="77777777" w:rsidR="007D6F40" w:rsidRDefault="007D6F40" w:rsidP="00036A8A">
      <w:r>
        <w:separator/>
      </w:r>
    </w:p>
  </w:endnote>
  <w:endnote w:type="continuationSeparator" w:id="0">
    <w:p w14:paraId="04A657F7" w14:textId="77777777" w:rsidR="007D6F40" w:rsidRDefault="007D6F4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ECB1" w14:textId="77777777" w:rsidR="007D6F40" w:rsidRPr="00036A8A" w:rsidRDefault="007D6F4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7C8E872" w14:textId="77777777" w:rsidR="007D6F40" w:rsidRPr="00036A8A" w:rsidRDefault="007D6F40" w:rsidP="00036A8A">
      <w:pPr>
        <w:rPr>
          <w:rFonts w:asciiTheme="majorHAnsi" w:hAnsiTheme="majorHAnsi"/>
          <w:sz w:val="16"/>
          <w:szCs w:val="16"/>
        </w:rPr>
      </w:pPr>
      <w:r w:rsidRPr="00036A8A">
        <w:rPr>
          <w:rFonts w:asciiTheme="majorHAnsi" w:hAnsiTheme="majorHAnsi"/>
          <w:sz w:val="16"/>
          <w:szCs w:val="16"/>
        </w:rPr>
        <w:separator/>
      </w:r>
    </w:p>
    <w:p w14:paraId="418A05F3" w14:textId="77777777" w:rsidR="007D6F40" w:rsidRPr="00036A8A" w:rsidRDefault="007D6F4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3A7BFDA" w14:textId="77777777" w:rsidR="007D6F40" w:rsidRPr="0093441A" w:rsidRDefault="007D6F4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9F7DEFA" w14:textId="1C34B2ED" w:rsidR="007E04AC" w:rsidRPr="00716B90" w:rsidRDefault="007E04AC" w:rsidP="00716B90">
      <w:pPr>
        <w:pStyle w:val="FootnoteText"/>
        <w:ind w:firstLine="720"/>
        <w:jc w:val="both"/>
        <w:rPr>
          <w:rFonts w:ascii="Cambria" w:hAnsi="Cambria"/>
          <w:sz w:val="16"/>
          <w:szCs w:val="16"/>
        </w:rPr>
      </w:pPr>
      <w:r w:rsidRPr="00716B90">
        <w:rPr>
          <w:rStyle w:val="FootnoteReference"/>
          <w:rFonts w:ascii="Cambria" w:hAnsi="Cambria"/>
          <w:sz w:val="16"/>
          <w:szCs w:val="16"/>
        </w:rPr>
        <w:footnoteRef/>
      </w:r>
      <w:r w:rsidRPr="00716B90">
        <w:rPr>
          <w:rFonts w:ascii="Cambria" w:hAnsi="Cambria"/>
          <w:sz w:val="16"/>
          <w:szCs w:val="16"/>
        </w:rPr>
        <w:t xml:space="preserve"> In accordance with Article 17(2)(a) of the Rules of Procedure of the IACHR, Commissioner Carlos Bernal Pulido, a Colombian national, did not participate in the discussion or decision on this case.</w:t>
      </w:r>
    </w:p>
  </w:footnote>
  <w:footnote w:id="3">
    <w:p w14:paraId="3944883B" w14:textId="16762C84" w:rsidR="000C047C" w:rsidRPr="00716B90" w:rsidRDefault="000C047C" w:rsidP="00716B90">
      <w:pPr>
        <w:pStyle w:val="FootnoteText"/>
        <w:ind w:firstLine="720"/>
        <w:jc w:val="both"/>
        <w:rPr>
          <w:rFonts w:ascii="Cambria" w:hAnsi="Cambria"/>
          <w:sz w:val="16"/>
          <w:szCs w:val="16"/>
        </w:rPr>
      </w:pPr>
      <w:r w:rsidRPr="00716B90">
        <w:rPr>
          <w:rStyle w:val="FootnoteReference"/>
          <w:rFonts w:ascii="Cambria" w:hAnsi="Cambria"/>
          <w:sz w:val="16"/>
          <w:szCs w:val="16"/>
        </w:rPr>
        <w:footnoteRef/>
      </w:r>
      <w:r w:rsidR="00855FE7" w:rsidRPr="00716B90">
        <w:rPr>
          <w:rFonts w:ascii="Cambria" w:hAnsi="Cambria"/>
          <w:sz w:val="16"/>
          <w:szCs w:val="16"/>
        </w:rPr>
        <w:t xml:space="preserve"> </w:t>
      </w:r>
      <w:r w:rsidR="007D03D2" w:rsidRPr="00716B90">
        <w:rPr>
          <w:rFonts w:ascii="Cambria" w:hAnsi="Cambria"/>
          <w:sz w:val="16"/>
          <w:szCs w:val="16"/>
        </w:rPr>
        <w:t>On September 18, 2024, the parties sent a joint note correcting the surname of Mr. Juan José Montes Balasnoa, who, due to a material error, had been included with the surname Balsanoa in the original FSA. Therefore, the IACHR corrects it in this report at the request of the parties and for the relevant purposes.</w:t>
      </w:r>
      <w:r w:rsidRPr="00716B90">
        <w:rPr>
          <w:rFonts w:ascii="Cambria" w:hAnsi="Cambria"/>
          <w:sz w:val="16"/>
          <w:szCs w:val="16"/>
        </w:rPr>
        <w:t xml:space="preserve"> </w:t>
      </w:r>
    </w:p>
  </w:footnote>
  <w:footnote w:id="4">
    <w:p w14:paraId="152B15FB" w14:textId="77777777" w:rsidR="000C047C" w:rsidRPr="00716B90" w:rsidRDefault="000C047C" w:rsidP="00716B90">
      <w:pPr>
        <w:pStyle w:val="FootnoteText"/>
        <w:ind w:firstLine="720"/>
        <w:jc w:val="both"/>
        <w:rPr>
          <w:rFonts w:ascii="Cambria" w:hAnsi="Cambria"/>
          <w:sz w:val="16"/>
          <w:szCs w:val="16"/>
        </w:rPr>
      </w:pPr>
      <w:r w:rsidRPr="00716B90">
        <w:rPr>
          <w:rStyle w:val="FootnoteReference"/>
          <w:rFonts w:ascii="Cambria" w:hAnsi="Cambria"/>
          <w:sz w:val="16"/>
          <w:szCs w:val="16"/>
        </w:rPr>
        <w:footnoteRef/>
      </w:r>
      <w:r w:rsidRPr="00716B90">
        <w:rPr>
          <w:rFonts w:ascii="Cambria" w:hAnsi="Cambria"/>
          <w:sz w:val="16"/>
          <w:szCs w:val="16"/>
        </w:rPr>
        <w:t xml:space="preserve"> I/A Court H.R. Case of Caesar v. Trinidad and Tobago, Merits, Reparations and Costs, Judgment of March 11, 2005. Series C No. 123, paragraph 125. </w:t>
      </w:r>
    </w:p>
  </w:footnote>
  <w:footnote w:id="5">
    <w:p w14:paraId="0B73DFA6" w14:textId="088436C7" w:rsidR="000C047C" w:rsidRPr="00716B90" w:rsidRDefault="000C047C" w:rsidP="00716B90">
      <w:pPr>
        <w:spacing w:line="276" w:lineRule="auto"/>
        <w:ind w:firstLine="720"/>
        <w:jc w:val="both"/>
        <w:rPr>
          <w:rFonts w:ascii="Cambria" w:hAnsi="Cambria"/>
          <w:sz w:val="16"/>
          <w:szCs w:val="16"/>
        </w:rPr>
      </w:pPr>
      <w:r w:rsidRPr="00716B90">
        <w:rPr>
          <w:rStyle w:val="FootnoteReference"/>
          <w:rFonts w:ascii="Cambria" w:hAnsi="Cambria"/>
          <w:sz w:val="16"/>
          <w:szCs w:val="16"/>
        </w:rPr>
        <w:footnoteRef/>
      </w:r>
      <w:r w:rsidRPr="00716B90">
        <w:rPr>
          <w:rFonts w:ascii="Cambria" w:hAnsi="Cambria"/>
          <w:sz w:val="16"/>
          <w:szCs w:val="16"/>
        </w:rPr>
        <w:t xml:space="preserve">Examples of such measures include public disclosure of the truth and acts of </w:t>
      </w:r>
      <w:r w:rsidR="0097793C" w:rsidRPr="00716B90">
        <w:rPr>
          <w:rFonts w:ascii="Cambria" w:hAnsi="Cambria"/>
          <w:sz w:val="16"/>
          <w:szCs w:val="16"/>
        </w:rPr>
        <w:t>redress</w:t>
      </w:r>
      <w:r w:rsidRPr="00716B90">
        <w:rPr>
          <w:rFonts w:ascii="Cambria" w:hAnsi="Cambria"/>
          <w:sz w:val="16"/>
          <w:szCs w:val="16"/>
        </w:rPr>
        <w:t>.</w:t>
      </w:r>
    </w:p>
  </w:footnote>
  <w:footnote w:id="6">
    <w:p w14:paraId="7757A10B" w14:textId="457616D0" w:rsidR="000C047C" w:rsidRPr="00716B90" w:rsidRDefault="000C047C" w:rsidP="00716B90">
      <w:pPr>
        <w:pStyle w:val="FootnoteText"/>
        <w:ind w:firstLine="720"/>
        <w:jc w:val="both"/>
        <w:rPr>
          <w:rFonts w:ascii="Cambria" w:hAnsi="Cambria"/>
          <w:sz w:val="16"/>
          <w:szCs w:val="16"/>
        </w:rPr>
      </w:pPr>
      <w:r w:rsidRPr="00716B90">
        <w:rPr>
          <w:rStyle w:val="FootnoteReference"/>
          <w:rFonts w:ascii="Cambria" w:hAnsi="Cambria"/>
          <w:sz w:val="16"/>
          <w:szCs w:val="16"/>
        </w:rPr>
        <w:footnoteRef/>
      </w:r>
      <w:r w:rsidR="00742BB7" w:rsidRPr="00716B90">
        <w:rPr>
          <w:rFonts w:ascii="Cambria" w:hAnsi="Cambria"/>
          <w:sz w:val="16"/>
          <w:szCs w:val="16"/>
        </w:rPr>
        <w:t xml:space="preserve"> </w:t>
      </w:r>
      <w:r w:rsidRPr="00716B90">
        <w:rPr>
          <w:rFonts w:ascii="Cambria" w:hAnsi="Cambria"/>
          <w:sz w:val="16"/>
          <w:szCs w:val="16"/>
        </w:rPr>
        <w:t>Th</w:t>
      </w:r>
      <w:r w:rsidR="00F155EE" w:rsidRPr="00716B90">
        <w:rPr>
          <w:rFonts w:ascii="Cambria" w:hAnsi="Cambria"/>
          <w:sz w:val="16"/>
          <w:szCs w:val="16"/>
        </w:rPr>
        <w:t>e foregoing</w:t>
      </w:r>
      <w:r w:rsidRPr="00716B90">
        <w:rPr>
          <w:rFonts w:ascii="Cambria" w:hAnsi="Cambria"/>
          <w:sz w:val="16"/>
          <w:szCs w:val="16"/>
        </w:rPr>
        <w:t>, in accordance with the jurisprudence of the Inter-American Court of Human Rights. See I/A Court H.R., Case of the Afro-descendant communities displaced from the Cacarica River Basin (Operation Genesis) v. Colombia. (Preliminary Objections, Merits, Reparations, and Costs). Judgment of November 20, 2013. Series C No. 270 par. 425.</w:t>
      </w:r>
    </w:p>
  </w:footnote>
  <w:footnote w:id="7">
    <w:p w14:paraId="77CA169B" w14:textId="3F445C39" w:rsidR="000C047C" w:rsidRPr="00716B90" w:rsidRDefault="000C047C" w:rsidP="00716B90">
      <w:pPr>
        <w:pStyle w:val="FootnoteText"/>
        <w:ind w:firstLine="720"/>
        <w:jc w:val="both"/>
        <w:rPr>
          <w:rFonts w:ascii="Cambria" w:hAnsi="Cambria"/>
          <w:sz w:val="16"/>
          <w:szCs w:val="16"/>
        </w:rPr>
      </w:pPr>
      <w:r w:rsidRPr="00716B90">
        <w:rPr>
          <w:rStyle w:val="FootnoteReference"/>
          <w:rFonts w:ascii="Cambria" w:hAnsi="Cambria"/>
          <w:sz w:val="16"/>
          <w:szCs w:val="16"/>
        </w:rPr>
        <w:footnoteRef/>
      </w:r>
      <w:r w:rsidRPr="00716B90">
        <w:rPr>
          <w:rFonts w:ascii="Cambria" w:hAnsi="Cambria"/>
          <w:sz w:val="16"/>
          <w:szCs w:val="16"/>
        </w:rPr>
        <w:t xml:space="preserve"> </w:t>
      </w:r>
      <w:r w:rsidR="008457BF" w:rsidRPr="00716B90">
        <w:rPr>
          <w:rFonts w:ascii="Cambria" w:hAnsi="Cambria"/>
          <w:sz w:val="16"/>
          <w:szCs w:val="16"/>
        </w:rPr>
        <w:t xml:space="preserve">National Center of Historical </w:t>
      </w:r>
      <w:r w:rsidR="00282029" w:rsidRPr="00716B90">
        <w:rPr>
          <w:rFonts w:ascii="Cambria" w:hAnsi="Cambria"/>
          <w:sz w:val="16"/>
          <w:szCs w:val="16"/>
        </w:rPr>
        <w:t>Remembrance</w:t>
      </w:r>
      <w:r w:rsidRPr="00716B90">
        <w:rPr>
          <w:rFonts w:ascii="Cambria" w:hAnsi="Cambria"/>
          <w:sz w:val="16"/>
          <w:szCs w:val="16"/>
        </w:rPr>
        <w:t xml:space="preserve">, official communication No. 202302080693-1 of February 8, 2023. </w:t>
      </w:r>
    </w:p>
  </w:footnote>
  <w:footnote w:id="8">
    <w:p w14:paraId="1ED24301" w14:textId="0FF55BFA" w:rsidR="000C047C" w:rsidRPr="00716B90" w:rsidRDefault="000C047C" w:rsidP="00716B90">
      <w:pPr>
        <w:pStyle w:val="FootnoteText"/>
        <w:ind w:firstLine="720"/>
        <w:jc w:val="both"/>
        <w:rPr>
          <w:rFonts w:ascii="Cambria" w:hAnsi="Cambria"/>
          <w:sz w:val="16"/>
          <w:szCs w:val="16"/>
        </w:rPr>
      </w:pPr>
      <w:r w:rsidRPr="00716B90">
        <w:rPr>
          <w:rStyle w:val="FootnoteReference"/>
          <w:rFonts w:ascii="Cambria" w:hAnsi="Cambria"/>
          <w:sz w:val="16"/>
          <w:szCs w:val="16"/>
        </w:rPr>
        <w:footnoteRef/>
      </w:r>
      <w:r w:rsidRPr="00716B90">
        <w:rPr>
          <w:rFonts w:ascii="Cambria" w:hAnsi="Cambria"/>
          <w:sz w:val="16"/>
          <w:szCs w:val="16"/>
        </w:rPr>
        <w:t xml:space="preserve"> Ministry of Health and Social Protection, official communication No. 202216101215031 of June 21, 2022</w:t>
      </w:r>
      <w:r w:rsidR="00913060" w:rsidRPr="00716B90">
        <w:rPr>
          <w:rFonts w:ascii="Cambria" w:hAnsi="Cambria"/>
          <w:sz w:val="16"/>
          <w:szCs w:val="16"/>
        </w:rPr>
        <w:t>.</w:t>
      </w:r>
    </w:p>
  </w:footnote>
  <w:footnote w:id="9">
    <w:p w14:paraId="0361393C" w14:textId="2E0DA7DB" w:rsidR="000C047C" w:rsidRPr="00716B90" w:rsidRDefault="000C047C" w:rsidP="00716B90">
      <w:pPr>
        <w:pStyle w:val="FootnoteText"/>
        <w:ind w:firstLine="720"/>
        <w:jc w:val="both"/>
        <w:rPr>
          <w:rFonts w:ascii="Cambria" w:hAnsi="Cambria"/>
          <w:sz w:val="16"/>
          <w:szCs w:val="16"/>
        </w:rPr>
      </w:pPr>
      <w:r w:rsidRPr="00716B90">
        <w:rPr>
          <w:rStyle w:val="FootnoteReference"/>
          <w:rFonts w:ascii="Cambria" w:hAnsi="Cambria"/>
          <w:sz w:val="16"/>
          <w:szCs w:val="16"/>
        </w:rPr>
        <w:footnoteRef/>
      </w:r>
      <w:r w:rsidRPr="00716B90">
        <w:rPr>
          <w:rFonts w:ascii="Cambria" w:hAnsi="Cambria"/>
          <w:sz w:val="16"/>
          <w:szCs w:val="16"/>
        </w:rPr>
        <w:t xml:space="preserve"> </w:t>
      </w:r>
      <w:r w:rsidR="0055028E">
        <w:rPr>
          <w:rFonts w:ascii="Cambria" w:hAnsi="Cambria"/>
          <w:sz w:val="16"/>
          <w:szCs w:val="16"/>
        </w:rPr>
        <w:t>T</w:t>
      </w:r>
      <w:r w:rsidRPr="00716B90">
        <w:rPr>
          <w:rFonts w:ascii="Cambria" w:hAnsi="Cambria"/>
          <w:sz w:val="16"/>
          <w:szCs w:val="16"/>
        </w:rPr>
        <w:t>he original FSA listed this clause as</w:t>
      </w:r>
      <w:r w:rsidR="00344185">
        <w:rPr>
          <w:rFonts w:ascii="Cambria" w:hAnsi="Cambria"/>
          <w:sz w:val="16"/>
          <w:szCs w:val="16"/>
        </w:rPr>
        <w:t xml:space="preserve"> p</w:t>
      </w:r>
      <w:r w:rsidR="00E05A7C">
        <w:rPr>
          <w:rFonts w:ascii="Cambria" w:hAnsi="Cambria"/>
          <w:sz w:val="16"/>
          <w:szCs w:val="16"/>
        </w:rPr>
        <w:t>art</w:t>
      </w:r>
      <w:r w:rsidRPr="00716B90">
        <w:rPr>
          <w:rFonts w:ascii="Cambria" w:hAnsi="Cambria"/>
          <w:sz w:val="16"/>
          <w:szCs w:val="16"/>
        </w:rPr>
        <w:t xml:space="preserve"> </w:t>
      </w:r>
      <w:r w:rsidR="00344185">
        <w:rPr>
          <w:rFonts w:ascii="Cambria" w:hAnsi="Cambria"/>
          <w:sz w:val="16"/>
          <w:szCs w:val="16"/>
        </w:rPr>
        <w:t>t</w:t>
      </w:r>
      <w:r w:rsidR="00F727FF" w:rsidRPr="00716B90">
        <w:rPr>
          <w:rFonts w:ascii="Cambria" w:hAnsi="Cambria"/>
          <w:sz w:val="16"/>
          <w:szCs w:val="16"/>
        </w:rPr>
        <w:t>en.</w:t>
      </w:r>
      <w:r w:rsidRPr="00716B90">
        <w:rPr>
          <w:rFonts w:ascii="Cambria" w:hAnsi="Cambria"/>
          <w:sz w:val="16"/>
          <w:szCs w:val="16"/>
        </w:rPr>
        <w:t xml:space="preserve"> </w:t>
      </w:r>
      <w:r w:rsidR="00B54D1D" w:rsidRPr="00716B90">
        <w:rPr>
          <w:rFonts w:ascii="Cambria" w:hAnsi="Cambria"/>
          <w:sz w:val="16"/>
          <w:szCs w:val="16"/>
        </w:rPr>
        <w:t xml:space="preserve">However, </w:t>
      </w:r>
      <w:r w:rsidRPr="00716B90">
        <w:rPr>
          <w:rFonts w:ascii="Cambria" w:hAnsi="Cambria"/>
          <w:sz w:val="16"/>
          <w:szCs w:val="16"/>
        </w:rPr>
        <w:t xml:space="preserve">the Commission understands that this </w:t>
      </w:r>
      <w:r w:rsidR="00B54D1D" w:rsidRPr="00716B90">
        <w:rPr>
          <w:rFonts w:ascii="Cambria" w:hAnsi="Cambria"/>
          <w:sz w:val="16"/>
          <w:szCs w:val="16"/>
        </w:rPr>
        <w:t xml:space="preserve">is a material error </w:t>
      </w:r>
      <w:r w:rsidRPr="00716B90">
        <w:rPr>
          <w:rFonts w:ascii="Cambria" w:hAnsi="Cambria"/>
          <w:sz w:val="16"/>
          <w:szCs w:val="16"/>
        </w:rPr>
        <w:t xml:space="preserve">and </w:t>
      </w:r>
      <w:r w:rsidR="00B54D1D" w:rsidRPr="00716B90">
        <w:rPr>
          <w:rFonts w:ascii="Cambria" w:hAnsi="Cambria"/>
          <w:sz w:val="16"/>
          <w:szCs w:val="16"/>
        </w:rPr>
        <w:t xml:space="preserve">adjusts </w:t>
      </w:r>
      <w:r w:rsidRPr="00716B90">
        <w:rPr>
          <w:rFonts w:ascii="Cambria" w:hAnsi="Cambria"/>
          <w:sz w:val="16"/>
          <w:szCs w:val="16"/>
        </w:rPr>
        <w:t>the numbering</w:t>
      </w:r>
      <w:r w:rsidR="00E643CB" w:rsidRPr="00716B90">
        <w:rPr>
          <w:rFonts w:ascii="Cambria" w:hAnsi="Cambria"/>
          <w:sz w:val="16"/>
          <w:szCs w:val="16"/>
        </w:rPr>
        <w:t xml:space="preserve"> accordingly</w:t>
      </w:r>
      <w:r w:rsidRPr="00716B90">
        <w:rPr>
          <w:rFonts w:ascii="Cambria" w:hAnsi="Cambria"/>
          <w:sz w:val="16"/>
          <w:szCs w:val="16"/>
        </w:rPr>
        <w:t xml:space="preserve"> in order to </w:t>
      </w:r>
      <w:r w:rsidR="00E86CD6" w:rsidRPr="00716B90">
        <w:rPr>
          <w:rFonts w:ascii="Cambria" w:hAnsi="Cambria"/>
          <w:sz w:val="16"/>
          <w:szCs w:val="16"/>
        </w:rPr>
        <w:t xml:space="preserve">assist in its </w:t>
      </w:r>
      <w:r w:rsidRPr="00716B90">
        <w:rPr>
          <w:rFonts w:ascii="Cambria" w:hAnsi="Cambria"/>
          <w:sz w:val="16"/>
          <w:szCs w:val="16"/>
        </w:rPr>
        <w:t>monitoring.</w:t>
      </w:r>
    </w:p>
  </w:footnote>
  <w:footnote w:id="10">
    <w:p w14:paraId="249DD393" w14:textId="77777777" w:rsidR="00805112" w:rsidRPr="00716B90" w:rsidRDefault="00805112" w:rsidP="00716B90">
      <w:pPr>
        <w:pStyle w:val="FootnoteText"/>
        <w:ind w:firstLine="720"/>
        <w:jc w:val="both"/>
        <w:rPr>
          <w:rFonts w:ascii="Cambria" w:hAnsi="Cambria"/>
          <w:sz w:val="16"/>
          <w:szCs w:val="16"/>
          <w:bdr w:val="none" w:sz="0" w:space="0" w:color="auto" w:frame="1"/>
        </w:rPr>
      </w:pPr>
      <w:r w:rsidRPr="00716B90">
        <w:rPr>
          <w:rStyle w:val="FootnoteReference"/>
          <w:rFonts w:ascii="Cambria" w:hAnsi="Cambria"/>
          <w:sz w:val="16"/>
          <w:szCs w:val="16"/>
          <w:lang w:val="en"/>
        </w:rPr>
        <w:footnoteRef/>
      </w:r>
      <w:r w:rsidRPr="00716B90">
        <w:rPr>
          <w:rFonts w:ascii="Cambria" w:hAnsi="Cambria"/>
          <w:sz w:val="16"/>
          <w:szCs w:val="16"/>
          <w:lang w:val="en"/>
        </w:rPr>
        <w:t xml:space="preserve"> Vienna Convention on the Law of Treaties, U.N. Doc A/CONF.39/27 (1969), Article 26: </w:t>
      </w:r>
      <w:r w:rsidRPr="00716B90">
        <w:rPr>
          <w:rFonts w:ascii="Cambria" w:hAnsi="Cambria"/>
          <w:b/>
          <w:bCs/>
          <w:sz w:val="16"/>
          <w:szCs w:val="16"/>
          <w:lang w:val="en"/>
        </w:rPr>
        <w:t>"Pacta sunt servanda"</w:t>
      </w:r>
      <w:r w:rsidRPr="00716B90">
        <w:rPr>
          <w:rFonts w:ascii="Cambria" w:hAnsi="Cambria"/>
          <w:sz w:val="16"/>
          <w:szCs w:val="16"/>
          <w:lang w:val="en"/>
        </w:rPr>
        <w:t xml:space="preserve"> </w:t>
      </w:r>
      <w:r w:rsidRPr="00716B90">
        <w:rPr>
          <w:rFonts w:ascii="Cambria" w:hAnsi="Cambria"/>
          <w:i/>
          <w:iCs/>
          <w:sz w:val="16"/>
          <w:szCs w:val="16"/>
          <w:lang w:val="en"/>
        </w:rPr>
        <w:t>Every treaty in force is binding upon the parties to it and must be performed by them in good faith.</w:t>
      </w:r>
    </w:p>
  </w:footnote>
  <w:footnote w:id="11">
    <w:p w14:paraId="4BE49A35" w14:textId="0C5E2369" w:rsidR="00D046E8" w:rsidRPr="00716B90" w:rsidRDefault="00D046E8" w:rsidP="00716B90">
      <w:pPr>
        <w:pStyle w:val="FootnoteText"/>
        <w:ind w:firstLine="720"/>
        <w:jc w:val="both"/>
        <w:rPr>
          <w:rFonts w:ascii="Cambria" w:hAnsi="Cambria"/>
          <w:sz w:val="16"/>
          <w:szCs w:val="16"/>
        </w:rPr>
      </w:pPr>
      <w:r w:rsidRPr="00716B90">
        <w:rPr>
          <w:rStyle w:val="FootnoteReference"/>
          <w:rFonts w:ascii="Cambria" w:hAnsi="Cambria"/>
          <w:sz w:val="16"/>
          <w:szCs w:val="16"/>
        </w:rPr>
        <w:footnoteRef/>
      </w:r>
      <w:r w:rsidRPr="00716B90">
        <w:rPr>
          <w:rFonts w:ascii="Cambria" w:hAnsi="Cambria"/>
          <w:sz w:val="16"/>
          <w:szCs w:val="16"/>
        </w:rPr>
        <w:t xml:space="preserve"> See, ANDJE, YouTube, </w:t>
      </w:r>
      <w:r w:rsidR="003310F3" w:rsidRPr="00716B90">
        <w:rPr>
          <w:rFonts w:ascii="Cambria" w:hAnsi="Cambria"/>
          <w:sz w:val="16"/>
          <w:szCs w:val="16"/>
        </w:rPr>
        <w:t>Ceremony</w:t>
      </w:r>
      <w:r w:rsidR="002A50FA" w:rsidRPr="00716B90">
        <w:rPr>
          <w:rFonts w:ascii="Cambria" w:hAnsi="Cambria"/>
          <w:sz w:val="16"/>
          <w:szCs w:val="16"/>
        </w:rPr>
        <w:t xml:space="preserve"> of </w:t>
      </w:r>
      <w:r w:rsidR="003310F3" w:rsidRPr="00716B90">
        <w:rPr>
          <w:rFonts w:ascii="Cambria" w:hAnsi="Cambria"/>
          <w:sz w:val="16"/>
          <w:szCs w:val="16"/>
        </w:rPr>
        <w:t>Acknowledgement</w:t>
      </w:r>
      <w:r w:rsidRPr="00716B90">
        <w:rPr>
          <w:rFonts w:ascii="Cambria" w:hAnsi="Cambria"/>
          <w:sz w:val="16"/>
          <w:szCs w:val="16"/>
        </w:rPr>
        <w:t xml:space="preserve">- Case No. 13.892, Denys del Carmen Olivera de Montes and their </w:t>
      </w:r>
      <w:r w:rsidR="003310F3" w:rsidRPr="00716B90">
        <w:rPr>
          <w:rFonts w:ascii="Cambria" w:hAnsi="Cambria"/>
          <w:sz w:val="16"/>
          <w:szCs w:val="16"/>
        </w:rPr>
        <w:t>family</w:t>
      </w:r>
      <w:r w:rsidRPr="00716B90">
        <w:rPr>
          <w:rFonts w:ascii="Cambria" w:hAnsi="Cambria"/>
          <w:sz w:val="16"/>
          <w:szCs w:val="16"/>
        </w:rPr>
        <w:t xml:space="preserve">: </w:t>
      </w:r>
      <w:hyperlink r:id="rId1" w:history="1">
        <w:r w:rsidRPr="00716B90">
          <w:rPr>
            <w:rStyle w:val="Hyperlink"/>
            <w:rFonts w:ascii="Cambria" w:hAnsi="Cambria"/>
            <w:color w:val="auto"/>
            <w:sz w:val="16"/>
            <w:szCs w:val="16"/>
          </w:rPr>
          <w:t>Case No. 13,892, Denys del Carmen Olivera de Montes and her family members (youtube.com)</w:t>
        </w:r>
      </w:hyperlink>
      <w:r w:rsidR="00777282">
        <w:rPr>
          <w:rStyle w:val="Hyperlink"/>
          <w:rFonts w:ascii="Cambria" w:hAnsi="Cambria"/>
          <w:color w:val="auto"/>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6228B7"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8876D06"/>
    <w:multiLevelType w:val="hybridMultilevel"/>
    <w:tmpl w:val="184A58CA"/>
    <w:lvl w:ilvl="0" w:tplc="EF845C1C">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49495E"/>
    <w:multiLevelType w:val="multilevel"/>
    <w:tmpl w:val="22AEB890"/>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E23B2D"/>
    <w:multiLevelType w:val="hybridMultilevel"/>
    <w:tmpl w:val="F21E2FEC"/>
    <w:lvl w:ilvl="0" w:tplc="CAF21C48">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E0B64A8"/>
    <w:multiLevelType w:val="multilevel"/>
    <w:tmpl w:val="5804F4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8A304A7"/>
    <w:multiLevelType w:val="hybridMultilevel"/>
    <w:tmpl w:val="6720A060"/>
    <w:lvl w:ilvl="0" w:tplc="0924F3B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6"/>
  </w:num>
  <w:num w:numId="4" w16cid:durableId="979070274">
    <w:abstractNumId w:val="22"/>
  </w:num>
  <w:num w:numId="5" w16cid:durableId="744229055">
    <w:abstractNumId w:val="49"/>
  </w:num>
  <w:num w:numId="6" w16cid:durableId="656034568">
    <w:abstractNumId w:val="27"/>
  </w:num>
  <w:num w:numId="7" w16cid:durableId="727655662">
    <w:abstractNumId w:val="5"/>
  </w:num>
  <w:num w:numId="8" w16cid:durableId="1350257806">
    <w:abstractNumId w:val="16"/>
  </w:num>
  <w:num w:numId="9" w16cid:durableId="130488493">
    <w:abstractNumId w:val="38"/>
  </w:num>
  <w:num w:numId="10" w16cid:durableId="1791899799">
    <w:abstractNumId w:val="42"/>
  </w:num>
  <w:num w:numId="11" w16cid:durableId="1674256508">
    <w:abstractNumId w:val="0"/>
  </w:num>
  <w:num w:numId="12" w16cid:durableId="328289490">
    <w:abstractNumId w:val="37"/>
  </w:num>
  <w:num w:numId="13" w16cid:durableId="2031712440">
    <w:abstractNumId w:val="43"/>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3"/>
  </w:num>
  <w:num w:numId="24" w16cid:durableId="948394290">
    <w:abstractNumId w:val="14"/>
  </w:num>
  <w:num w:numId="25" w16cid:durableId="1638756803">
    <w:abstractNumId w:val="17"/>
  </w:num>
  <w:num w:numId="26" w16cid:durableId="1624967865">
    <w:abstractNumId w:val="18"/>
  </w:num>
  <w:num w:numId="27" w16cid:durableId="2043244992">
    <w:abstractNumId w:val="23"/>
  </w:num>
  <w:num w:numId="28" w16cid:durableId="2132673565">
    <w:abstractNumId w:val="24"/>
  </w:num>
  <w:num w:numId="29" w16cid:durableId="441926786">
    <w:abstractNumId w:val="25"/>
  </w:num>
  <w:num w:numId="30" w16cid:durableId="843399322">
    <w:abstractNumId w:val="26"/>
  </w:num>
  <w:num w:numId="31" w16cid:durableId="336033175">
    <w:abstractNumId w:val="28"/>
  </w:num>
  <w:num w:numId="32" w16cid:durableId="1564364854">
    <w:abstractNumId w:val="30"/>
  </w:num>
  <w:num w:numId="33" w16cid:durableId="1366178073">
    <w:abstractNumId w:val="31"/>
  </w:num>
  <w:num w:numId="34" w16cid:durableId="720907309">
    <w:abstractNumId w:val="32"/>
  </w:num>
  <w:num w:numId="35" w16cid:durableId="1926572843">
    <w:abstractNumId w:val="33"/>
  </w:num>
  <w:num w:numId="36" w16cid:durableId="1538931130">
    <w:abstractNumId w:val="34"/>
  </w:num>
  <w:num w:numId="37" w16cid:durableId="1879511819">
    <w:abstractNumId w:val="35"/>
  </w:num>
  <w:num w:numId="38" w16cid:durableId="1428386966">
    <w:abstractNumId w:val="36"/>
  </w:num>
  <w:num w:numId="39" w16cid:durableId="142551894">
    <w:abstractNumId w:val="39"/>
  </w:num>
  <w:num w:numId="40" w16cid:durableId="824711039">
    <w:abstractNumId w:val="40"/>
  </w:num>
  <w:num w:numId="41" w16cid:durableId="1108282090">
    <w:abstractNumId w:val="47"/>
  </w:num>
  <w:num w:numId="42" w16cid:durableId="1611428575">
    <w:abstractNumId w:val="51"/>
  </w:num>
  <w:num w:numId="43" w16cid:durableId="1270040612">
    <w:abstractNumId w:val="52"/>
  </w:num>
  <w:num w:numId="44" w16cid:durableId="1808666855">
    <w:abstractNumId w:val="54"/>
  </w:num>
  <w:num w:numId="45" w16cid:durableId="751901012">
    <w:abstractNumId w:val="55"/>
  </w:num>
  <w:num w:numId="46" w16cid:durableId="64649807">
    <w:abstractNumId w:val="57"/>
  </w:num>
  <w:num w:numId="47" w16cid:durableId="119230681">
    <w:abstractNumId w:val="58"/>
  </w:num>
  <w:num w:numId="48" w16cid:durableId="803155736">
    <w:abstractNumId w:val="59"/>
  </w:num>
  <w:num w:numId="49" w16cid:durableId="1357391496">
    <w:abstractNumId w:val="60"/>
  </w:num>
  <w:num w:numId="50" w16cid:durableId="343672891">
    <w:abstractNumId w:val="61"/>
  </w:num>
  <w:num w:numId="51" w16cid:durableId="592787785">
    <w:abstractNumId w:val="21"/>
  </w:num>
  <w:num w:numId="52" w16cid:durableId="1631744929">
    <w:abstractNumId w:val="41"/>
  </w:num>
  <w:num w:numId="53" w16cid:durableId="1848640289">
    <w:abstractNumId w:val="53"/>
  </w:num>
  <w:num w:numId="54" w16cid:durableId="1577782847">
    <w:abstractNumId w:val="44"/>
  </w:num>
  <w:num w:numId="55" w16cid:durableId="656763769">
    <w:abstractNumId w:val="45"/>
  </w:num>
  <w:num w:numId="56" w16cid:durableId="1397509492">
    <w:abstractNumId w:val="46"/>
  </w:num>
  <w:num w:numId="57" w16cid:durableId="712535051">
    <w:abstractNumId w:val="48"/>
  </w:num>
  <w:num w:numId="58" w16cid:durableId="1283076428">
    <w:abstractNumId w:val="19"/>
  </w:num>
  <w:num w:numId="59" w16cid:durableId="350377192">
    <w:abstractNumId w:val="20"/>
  </w:num>
  <w:num w:numId="60" w16cid:durableId="1242717420">
    <w:abstractNumId w:val="50"/>
  </w:num>
  <w:num w:numId="61" w16cid:durableId="1705524208">
    <w:abstractNumId w:val="29"/>
  </w:num>
  <w:num w:numId="62" w16cid:durableId="502553804">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B3"/>
    <w:rsid w:val="000070D7"/>
    <w:rsid w:val="000111A8"/>
    <w:rsid w:val="0001788C"/>
    <w:rsid w:val="000266AF"/>
    <w:rsid w:val="0003554D"/>
    <w:rsid w:val="00035DA2"/>
    <w:rsid w:val="00036A8A"/>
    <w:rsid w:val="00040C3A"/>
    <w:rsid w:val="0005680B"/>
    <w:rsid w:val="00062C04"/>
    <w:rsid w:val="000631CA"/>
    <w:rsid w:val="000639C0"/>
    <w:rsid w:val="00070F3A"/>
    <w:rsid w:val="000716C5"/>
    <w:rsid w:val="00075E23"/>
    <w:rsid w:val="00092F32"/>
    <w:rsid w:val="0009344A"/>
    <w:rsid w:val="00094632"/>
    <w:rsid w:val="00096CBB"/>
    <w:rsid w:val="000A575F"/>
    <w:rsid w:val="000A584D"/>
    <w:rsid w:val="000B01A7"/>
    <w:rsid w:val="000B7B24"/>
    <w:rsid w:val="000C047C"/>
    <w:rsid w:val="000C0518"/>
    <w:rsid w:val="000C10C3"/>
    <w:rsid w:val="000D10DB"/>
    <w:rsid w:val="000F51CF"/>
    <w:rsid w:val="000F63C0"/>
    <w:rsid w:val="000F6F41"/>
    <w:rsid w:val="00102F45"/>
    <w:rsid w:val="001143AC"/>
    <w:rsid w:val="001144D4"/>
    <w:rsid w:val="00126EBE"/>
    <w:rsid w:val="00130655"/>
    <w:rsid w:val="0013104F"/>
    <w:rsid w:val="001339CD"/>
    <w:rsid w:val="001352BB"/>
    <w:rsid w:val="00137EBA"/>
    <w:rsid w:val="00142D2B"/>
    <w:rsid w:val="00145EDC"/>
    <w:rsid w:val="0015175A"/>
    <w:rsid w:val="00166429"/>
    <w:rsid w:val="001669D8"/>
    <w:rsid w:val="00167A34"/>
    <w:rsid w:val="00171E90"/>
    <w:rsid w:val="001747B8"/>
    <w:rsid w:val="00177777"/>
    <w:rsid w:val="0018031D"/>
    <w:rsid w:val="0018037F"/>
    <w:rsid w:val="001804DC"/>
    <w:rsid w:val="00181234"/>
    <w:rsid w:val="00186996"/>
    <w:rsid w:val="001A1019"/>
    <w:rsid w:val="001A21BE"/>
    <w:rsid w:val="001A5F27"/>
    <w:rsid w:val="001A7870"/>
    <w:rsid w:val="001B0F9B"/>
    <w:rsid w:val="001C1B41"/>
    <w:rsid w:val="001C2447"/>
    <w:rsid w:val="001C35A9"/>
    <w:rsid w:val="001C4D31"/>
    <w:rsid w:val="001C7FB2"/>
    <w:rsid w:val="001D06A4"/>
    <w:rsid w:val="001D1659"/>
    <w:rsid w:val="001E2C58"/>
    <w:rsid w:val="001F1E46"/>
    <w:rsid w:val="001F2C46"/>
    <w:rsid w:val="001F468C"/>
    <w:rsid w:val="00201846"/>
    <w:rsid w:val="00210E0E"/>
    <w:rsid w:val="00212FFA"/>
    <w:rsid w:val="00220D47"/>
    <w:rsid w:val="00222C31"/>
    <w:rsid w:val="00235E0E"/>
    <w:rsid w:val="00242E07"/>
    <w:rsid w:val="00246BEE"/>
    <w:rsid w:val="00247403"/>
    <w:rsid w:val="00247542"/>
    <w:rsid w:val="0025425C"/>
    <w:rsid w:val="00256132"/>
    <w:rsid w:val="00257893"/>
    <w:rsid w:val="00266092"/>
    <w:rsid w:val="00266B61"/>
    <w:rsid w:val="0026712A"/>
    <w:rsid w:val="002704DB"/>
    <w:rsid w:val="00270730"/>
    <w:rsid w:val="00282029"/>
    <w:rsid w:val="00293200"/>
    <w:rsid w:val="002A50FA"/>
    <w:rsid w:val="002A65AC"/>
    <w:rsid w:val="002B4F8D"/>
    <w:rsid w:val="002B4FD4"/>
    <w:rsid w:val="002C1641"/>
    <w:rsid w:val="002C24F2"/>
    <w:rsid w:val="002D182A"/>
    <w:rsid w:val="002D2455"/>
    <w:rsid w:val="002D3476"/>
    <w:rsid w:val="002D6367"/>
    <w:rsid w:val="002D7EA2"/>
    <w:rsid w:val="002E15DF"/>
    <w:rsid w:val="002E187C"/>
    <w:rsid w:val="002E35F9"/>
    <w:rsid w:val="002E6E57"/>
    <w:rsid w:val="002E77F2"/>
    <w:rsid w:val="002F0B0F"/>
    <w:rsid w:val="002F1FF1"/>
    <w:rsid w:val="002F26E6"/>
    <w:rsid w:val="002F5949"/>
    <w:rsid w:val="00301075"/>
    <w:rsid w:val="00302733"/>
    <w:rsid w:val="003032DE"/>
    <w:rsid w:val="00311A4F"/>
    <w:rsid w:val="00312D08"/>
    <w:rsid w:val="00314078"/>
    <w:rsid w:val="00320443"/>
    <w:rsid w:val="00322450"/>
    <w:rsid w:val="0032250A"/>
    <w:rsid w:val="003238ED"/>
    <w:rsid w:val="003246B5"/>
    <w:rsid w:val="003310F3"/>
    <w:rsid w:val="0033169F"/>
    <w:rsid w:val="003372DD"/>
    <w:rsid w:val="003414AC"/>
    <w:rsid w:val="00344185"/>
    <w:rsid w:val="003503B9"/>
    <w:rsid w:val="00352D58"/>
    <w:rsid w:val="00356185"/>
    <w:rsid w:val="00360380"/>
    <w:rsid w:val="00362D03"/>
    <w:rsid w:val="00366123"/>
    <w:rsid w:val="003815A8"/>
    <w:rsid w:val="00386CF0"/>
    <w:rsid w:val="00395C1B"/>
    <w:rsid w:val="00397E64"/>
    <w:rsid w:val="003A0038"/>
    <w:rsid w:val="003A2DCB"/>
    <w:rsid w:val="003B1AAA"/>
    <w:rsid w:val="003B4E71"/>
    <w:rsid w:val="003C32BC"/>
    <w:rsid w:val="003D4816"/>
    <w:rsid w:val="003E4FB8"/>
    <w:rsid w:val="003E6263"/>
    <w:rsid w:val="003F1A64"/>
    <w:rsid w:val="003F1BBF"/>
    <w:rsid w:val="003F2E86"/>
    <w:rsid w:val="003F75E9"/>
    <w:rsid w:val="004020BB"/>
    <w:rsid w:val="0040582A"/>
    <w:rsid w:val="004133BB"/>
    <w:rsid w:val="004165C2"/>
    <w:rsid w:val="004201FF"/>
    <w:rsid w:val="004207BC"/>
    <w:rsid w:val="0043775D"/>
    <w:rsid w:val="00440483"/>
    <w:rsid w:val="00450A4A"/>
    <w:rsid w:val="0045149F"/>
    <w:rsid w:val="004534DF"/>
    <w:rsid w:val="00456D6C"/>
    <w:rsid w:val="00457D04"/>
    <w:rsid w:val="00460851"/>
    <w:rsid w:val="004666FB"/>
    <w:rsid w:val="00466DAE"/>
    <w:rsid w:val="00467B7E"/>
    <w:rsid w:val="004775D8"/>
    <w:rsid w:val="0049165C"/>
    <w:rsid w:val="0049419D"/>
    <w:rsid w:val="0049688D"/>
    <w:rsid w:val="004B185D"/>
    <w:rsid w:val="004B2762"/>
    <w:rsid w:val="004B27F0"/>
    <w:rsid w:val="004B5146"/>
    <w:rsid w:val="004B627C"/>
    <w:rsid w:val="004B7EB6"/>
    <w:rsid w:val="004C4B62"/>
    <w:rsid w:val="004D4203"/>
    <w:rsid w:val="004D4679"/>
    <w:rsid w:val="004D6025"/>
    <w:rsid w:val="004D72BC"/>
    <w:rsid w:val="004E108D"/>
    <w:rsid w:val="00501399"/>
    <w:rsid w:val="00507BC4"/>
    <w:rsid w:val="00507F34"/>
    <w:rsid w:val="00511638"/>
    <w:rsid w:val="005128E4"/>
    <w:rsid w:val="00520867"/>
    <w:rsid w:val="00525560"/>
    <w:rsid w:val="005357A6"/>
    <w:rsid w:val="00536689"/>
    <w:rsid w:val="00541831"/>
    <w:rsid w:val="00544C49"/>
    <w:rsid w:val="005459C5"/>
    <w:rsid w:val="0055028E"/>
    <w:rsid w:val="00553FEB"/>
    <w:rsid w:val="00573DD4"/>
    <w:rsid w:val="0057402A"/>
    <w:rsid w:val="005771D0"/>
    <w:rsid w:val="005841BA"/>
    <w:rsid w:val="005851BD"/>
    <w:rsid w:val="0059191A"/>
    <w:rsid w:val="005921FF"/>
    <w:rsid w:val="00596978"/>
    <w:rsid w:val="00597F3E"/>
    <w:rsid w:val="005A503D"/>
    <w:rsid w:val="005A6D0E"/>
    <w:rsid w:val="005B222D"/>
    <w:rsid w:val="005B52B0"/>
    <w:rsid w:val="005B6806"/>
    <w:rsid w:val="005C00F9"/>
    <w:rsid w:val="005C4225"/>
    <w:rsid w:val="005E00E8"/>
    <w:rsid w:val="005E31B5"/>
    <w:rsid w:val="005F0F33"/>
    <w:rsid w:val="005F7605"/>
    <w:rsid w:val="00600DEB"/>
    <w:rsid w:val="00603F4F"/>
    <w:rsid w:val="00613027"/>
    <w:rsid w:val="00620451"/>
    <w:rsid w:val="006228B7"/>
    <w:rsid w:val="00625226"/>
    <w:rsid w:val="00627C9F"/>
    <w:rsid w:val="006311DA"/>
    <w:rsid w:val="006311E9"/>
    <w:rsid w:val="00632354"/>
    <w:rsid w:val="00632B97"/>
    <w:rsid w:val="006336E5"/>
    <w:rsid w:val="0063713D"/>
    <w:rsid w:val="00642810"/>
    <w:rsid w:val="00652333"/>
    <w:rsid w:val="006555E8"/>
    <w:rsid w:val="00662295"/>
    <w:rsid w:val="00662B4D"/>
    <w:rsid w:val="00664322"/>
    <w:rsid w:val="0068009E"/>
    <w:rsid w:val="00680EF0"/>
    <w:rsid w:val="00687B4B"/>
    <w:rsid w:val="00690B17"/>
    <w:rsid w:val="00690FF0"/>
    <w:rsid w:val="006A17D2"/>
    <w:rsid w:val="006A474E"/>
    <w:rsid w:val="006A73E6"/>
    <w:rsid w:val="006B2D5C"/>
    <w:rsid w:val="006B32B6"/>
    <w:rsid w:val="006C4EB1"/>
    <w:rsid w:val="006D4908"/>
    <w:rsid w:val="006E0166"/>
    <w:rsid w:val="006E7962"/>
    <w:rsid w:val="006E7B34"/>
    <w:rsid w:val="006F54E7"/>
    <w:rsid w:val="00701B24"/>
    <w:rsid w:val="00703111"/>
    <w:rsid w:val="00707604"/>
    <w:rsid w:val="007077C4"/>
    <w:rsid w:val="0071512D"/>
    <w:rsid w:val="00716B90"/>
    <w:rsid w:val="0072107E"/>
    <w:rsid w:val="007217D5"/>
    <w:rsid w:val="007407BC"/>
    <w:rsid w:val="00742BB7"/>
    <w:rsid w:val="00743491"/>
    <w:rsid w:val="00745899"/>
    <w:rsid w:val="00752942"/>
    <w:rsid w:val="007562E5"/>
    <w:rsid w:val="007607C4"/>
    <w:rsid w:val="0076643F"/>
    <w:rsid w:val="007674DF"/>
    <w:rsid w:val="00777282"/>
    <w:rsid w:val="007810FE"/>
    <w:rsid w:val="007819E8"/>
    <w:rsid w:val="00781E33"/>
    <w:rsid w:val="007966EE"/>
    <w:rsid w:val="007A0E5B"/>
    <w:rsid w:val="007A2F70"/>
    <w:rsid w:val="007A5377"/>
    <w:rsid w:val="007B055C"/>
    <w:rsid w:val="007B1899"/>
    <w:rsid w:val="007B6492"/>
    <w:rsid w:val="007B703B"/>
    <w:rsid w:val="007C3334"/>
    <w:rsid w:val="007C52BB"/>
    <w:rsid w:val="007C6350"/>
    <w:rsid w:val="007D03D2"/>
    <w:rsid w:val="007D2B98"/>
    <w:rsid w:val="007D5EDA"/>
    <w:rsid w:val="007D6F40"/>
    <w:rsid w:val="007E04AC"/>
    <w:rsid w:val="007E7D3A"/>
    <w:rsid w:val="007F2A5C"/>
    <w:rsid w:val="00800991"/>
    <w:rsid w:val="00803F1C"/>
    <w:rsid w:val="008040DC"/>
    <w:rsid w:val="00805112"/>
    <w:rsid w:val="008053DD"/>
    <w:rsid w:val="0080600E"/>
    <w:rsid w:val="00806805"/>
    <w:rsid w:val="00817612"/>
    <w:rsid w:val="00817C1F"/>
    <w:rsid w:val="00820278"/>
    <w:rsid w:val="008267E1"/>
    <w:rsid w:val="00826A41"/>
    <w:rsid w:val="00827050"/>
    <w:rsid w:val="008311CA"/>
    <w:rsid w:val="008372D1"/>
    <w:rsid w:val="00837C45"/>
    <w:rsid w:val="0084473F"/>
    <w:rsid w:val="008457BF"/>
    <w:rsid w:val="00851614"/>
    <w:rsid w:val="00853419"/>
    <w:rsid w:val="00855FE7"/>
    <w:rsid w:val="00862196"/>
    <w:rsid w:val="0086668F"/>
    <w:rsid w:val="00871E99"/>
    <w:rsid w:val="00875635"/>
    <w:rsid w:val="00877556"/>
    <w:rsid w:val="008840E5"/>
    <w:rsid w:val="0088772A"/>
    <w:rsid w:val="00887951"/>
    <w:rsid w:val="00897E12"/>
    <w:rsid w:val="008A1F6F"/>
    <w:rsid w:val="008A3F3E"/>
    <w:rsid w:val="008B0C18"/>
    <w:rsid w:val="008B1147"/>
    <w:rsid w:val="008B1EBC"/>
    <w:rsid w:val="008B219D"/>
    <w:rsid w:val="008C15A7"/>
    <w:rsid w:val="008C2F3F"/>
    <w:rsid w:val="008C68B3"/>
    <w:rsid w:val="008D43BA"/>
    <w:rsid w:val="008E3493"/>
    <w:rsid w:val="008E3759"/>
    <w:rsid w:val="008E3B31"/>
    <w:rsid w:val="008F00C6"/>
    <w:rsid w:val="009041DC"/>
    <w:rsid w:val="00905573"/>
    <w:rsid w:val="009104B4"/>
    <w:rsid w:val="00913060"/>
    <w:rsid w:val="009175D2"/>
    <w:rsid w:val="0092313E"/>
    <w:rsid w:val="009249EF"/>
    <w:rsid w:val="009250F5"/>
    <w:rsid w:val="00925FCD"/>
    <w:rsid w:val="0093441A"/>
    <w:rsid w:val="00954BF7"/>
    <w:rsid w:val="009578F4"/>
    <w:rsid w:val="0096357A"/>
    <w:rsid w:val="00965A80"/>
    <w:rsid w:val="0096706E"/>
    <w:rsid w:val="00971D4E"/>
    <w:rsid w:val="00974B07"/>
    <w:rsid w:val="00975569"/>
    <w:rsid w:val="0097793C"/>
    <w:rsid w:val="00981FBA"/>
    <w:rsid w:val="00993B80"/>
    <w:rsid w:val="009972E6"/>
    <w:rsid w:val="009A0882"/>
    <w:rsid w:val="009A46F5"/>
    <w:rsid w:val="009B0018"/>
    <w:rsid w:val="009B381B"/>
    <w:rsid w:val="009B4F07"/>
    <w:rsid w:val="009B5E41"/>
    <w:rsid w:val="009C1DEB"/>
    <w:rsid w:val="009C27B3"/>
    <w:rsid w:val="009D1D3C"/>
    <w:rsid w:val="009D7611"/>
    <w:rsid w:val="009D770B"/>
    <w:rsid w:val="009D7FB5"/>
    <w:rsid w:val="009E26D7"/>
    <w:rsid w:val="009E5267"/>
    <w:rsid w:val="009E53DE"/>
    <w:rsid w:val="00A0679E"/>
    <w:rsid w:val="00A17C1D"/>
    <w:rsid w:val="00A23B08"/>
    <w:rsid w:val="00A31F4C"/>
    <w:rsid w:val="00A32691"/>
    <w:rsid w:val="00A33786"/>
    <w:rsid w:val="00A34AC4"/>
    <w:rsid w:val="00A365C2"/>
    <w:rsid w:val="00A404B4"/>
    <w:rsid w:val="00A43458"/>
    <w:rsid w:val="00A44522"/>
    <w:rsid w:val="00A45743"/>
    <w:rsid w:val="00A47853"/>
    <w:rsid w:val="00A528D1"/>
    <w:rsid w:val="00A55793"/>
    <w:rsid w:val="00A5715C"/>
    <w:rsid w:val="00A623F4"/>
    <w:rsid w:val="00A65C7F"/>
    <w:rsid w:val="00A66BE5"/>
    <w:rsid w:val="00A66EE0"/>
    <w:rsid w:val="00A67692"/>
    <w:rsid w:val="00A869FA"/>
    <w:rsid w:val="00A86E7C"/>
    <w:rsid w:val="00A9359F"/>
    <w:rsid w:val="00A9656F"/>
    <w:rsid w:val="00AA132A"/>
    <w:rsid w:val="00AA3AF4"/>
    <w:rsid w:val="00AB6C98"/>
    <w:rsid w:val="00AC319A"/>
    <w:rsid w:val="00AD37C1"/>
    <w:rsid w:val="00AD3D2D"/>
    <w:rsid w:val="00AE2723"/>
    <w:rsid w:val="00AE2A4C"/>
    <w:rsid w:val="00AE4CBE"/>
    <w:rsid w:val="00AE66EC"/>
    <w:rsid w:val="00AE6F91"/>
    <w:rsid w:val="00AF0E37"/>
    <w:rsid w:val="00AF5571"/>
    <w:rsid w:val="00B07EF2"/>
    <w:rsid w:val="00B1487C"/>
    <w:rsid w:val="00B167E9"/>
    <w:rsid w:val="00B22AA5"/>
    <w:rsid w:val="00B22DBF"/>
    <w:rsid w:val="00B31378"/>
    <w:rsid w:val="00B314DB"/>
    <w:rsid w:val="00B31EBE"/>
    <w:rsid w:val="00B32EC5"/>
    <w:rsid w:val="00B346E5"/>
    <w:rsid w:val="00B3718B"/>
    <w:rsid w:val="00B409D8"/>
    <w:rsid w:val="00B4632A"/>
    <w:rsid w:val="00B51805"/>
    <w:rsid w:val="00B53D16"/>
    <w:rsid w:val="00B547B3"/>
    <w:rsid w:val="00B54D1D"/>
    <w:rsid w:val="00B563CF"/>
    <w:rsid w:val="00B906C7"/>
    <w:rsid w:val="00B92C68"/>
    <w:rsid w:val="00BA276C"/>
    <w:rsid w:val="00BA69FA"/>
    <w:rsid w:val="00BB0B3B"/>
    <w:rsid w:val="00BB15E9"/>
    <w:rsid w:val="00BB306F"/>
    <w:rsid w:val="00BD232B"/>
    <w:rsid w:val="00BD4B89"/>
    <w:rsid w:val="00BE0448"/>
    <w:rsid w:val="00BE6C12"/>
    <w:rsid w:val="00BF2DFF"/>
    <w:rsid w:val="00C024BA"/>
    <w:rsid w:val="00C15412"/>
    <w:rsid w:val="00C15D95"/>
    <w:rsid w:val="00C21762"/>
    <w:rsid w:val="00C24543"/>
    <w:rsid w:val="00C256A2"/>
    <w:rsid w:val="00C3492D"/>
    <w:rsid w:val="00C35948"/>
    <w:rsid w:val="00C372F6"/>
    <w:rsid w:val="00C40B80"/>
    <w:rsid w:val="00C44ACB"/>
    <w:rsid w:val="00C54244"/>
    <w:rsid w:val="00C55560"/>
    <w:rsid w:val="00C57C8E"/>
    <w:rsid w:val="00C615B9"/>
    <w:rsid w:val="00C63829"/>
    <w:rsid w:val="00C65711"/>
    <w:rsid w:val="00C66B72"/>
    <w:rsid w:val="00C843A6"/>
    <w:rsid w:val="00C85644"/>
    <w:rsid w:val="00C8796C"/>
    <w:rsid w:val="00C9567A"/>
    <w:rsid w:val="00C9726D"/>
    <w:rsid w:val="00CA75C2"/>
    <w:rsid w:val="00CB2660"/>
    <w:rsid w:val="00CC28C3"/>
    <w:rsid w:val="00CC3385"/>
    <w:rsid w:val="00CC3799"/>
    <w:rsid w:val="00CC523A"/>
    <w:rsid w:val="00CC5E90"/>
    <w:rsid w:val="00CC69DC"/>
    <w:rsid w:val="00CC6F7F"/>
    <w:rsid w:val="00CD046C"/>
    <w:rsid w:val="00CE45ED"/>
    <w:rsid w:val="00CE5199"/>
    <w:rsid w:val="00CE66D5"/>
    <w:rsid w:val="00CF6BFE"/>
    <w:rsid w:val="00D013C9"/>
    <w:rsid w:val="00D046E8"/>
    <w:rsid w:val="00D15878"/>
    <w:rsid w:val="00D16FF5"/>
    <w:rsid w:val="00D17956"/>
    <w:rsid w:val="00D242C3"/>
    <w:rsid w:val="00D34786"/>
    <w:rsid w:val="00D365D8"/>
    <w:rsid w:val="00D40A1E"/>
    <w:rsid w:val="00D41496"/>
    <w:rsid w:val="00D442EE"/>
    <w:rsid w:val="00D46D22"/>
    <w:rsid w:val="00D56430"/>
    <w:rsid w:val="00D603E4"/>
    <w:rsid w:val="00D70538"/>
    <w:rsid w:val="00D70E8E"/>
    <w:rsid w:val="00D712D3"/>
    <w:rsid w:val="00D71422"/>
    <w:rsid w:val="00D7145E"/>
    <w:rsid w:val="00D7558D"/>
    <w:rsid w:val="00D81D92"/>
    <w:rsid w:val="00D90BC1"/>
    <w:rsid w:val="00D91DB7"/>
    <w:rsid w:val="00D93446"/>
    <w:rsid w:val="00D95464"/>
    <w:rsid w:val="00DA37B6"/>
    <w:rsid w:val="00DA5A1C"/>
    <w:rsid w:val="00DA5F64"/>
    <w:rsid w:val="00DA7B5F"/>
    <w:rsid w:val="00DB0550"/>
    <w:rsid w:val="00DB1DEA"/>
    <w:rsid w:val="00DB7515"/>
    <w:rsid w:val="00DD1941"/>
    <w:rsid w:val="00DD2BD4"/>
    <w:rsid w:val="00DD3536"/>
    <w:rsid w:val="00DD6F28"/>
    <w:rsid w:val="00DD7CD1"/>
    <w:rsid w:val="00DF5618"/>
    <w:rsid w:val="00DF5F50"/>
    <w:rsid w:val="00E0073D"/>
    <w:rsid w:val="00E05A7C"/>
    <w:rsid w:val="00E11D02"/>
    <w:rsid w:val="00E16A4A"/>
    <w:rsid w:val="00E2562C"/>
    <w:rsid w:val="00E328E8"/>
    <w:rsid w:val="00E406EE"/>
    <w:rsid w:val="00E43157"/>
    <w:rsid w:val="00E431C2"/>
    <w:rsid w:val="00E50E5F"/>
    <w:rsid w:val="00E533FF"/>
    <w:rsid w:val="00E5481B"/>
    <w:rsid w:val="00E572C8"/>
    <w:rsid w:val="00E632E4"/>
    <w:rsid w:val="00E643CB"/>
    <w:rsid w:val="00E66530"/>
    <w:rsid w:val="00E709B3"/>
    <w:rsid w:val="00E80D36"/>
    <w:rsid w:val="00E86CD6"/>
    <w:rsid w:val="00E8789F"/>
    <w:rsid w:val="00E920E3"/>
    <w:rsid w:val="00E97B71"/>
    <w:rsid w:val="00EA30F5"/>
    <w:rsid w:val="00EB0954"/>
    <w:rsid w:val="00EB454D"/>
    <w:rsid w:val="00EC140B"/>
    <w:rsid w:val="00EC2BAF"/>
    <w:rsid w:val="00EC66E7"/>
    <w:rsid w:val="00ED2023"/>
    <w:rsid w:val="00ED2960"/>
    <w:rsid w:val="00ED695B"/>
    <w:rsid w:val="00ED715F"/>
    <w:rsid w:val="00ED766E"/>
    <w:rsid w:val="00EE3522"/>
    <w:rsid w:val="00EE3E73"/>
    <w:rsid w:val="00EE5EFE"/>
    <w:rsid w:val="00EF2563"/>
    <w:rsid w:val="00EF619B"/>
    <w:rsid w:val="00EF6561"/>
    <w:rsid w:val="00F00B55"/>
    <w:rsid w:val="00F054C1"/>
    <w:rsid w:val="00F06762"/>
    <w:rsid w:val="00F1380F"/>
    <w:rsid w:val="00F14F0E"/>
    <w:rsid w:val="00F155EE"/>
    <w:rsid w:val="00F24C29"/>
    <w:rsid w:val="00F253CC"/>
    <w:rsid w:val="00F55F06"/>
    <w:rsid w:val="00F56BA5"/>
    <w:rsid w:val="00F61BFD"/>
    <w:rsid w:val="00F62032"/>
    <w:rsid w:val="00F644E6"/>
    <w:rsid w:val="00F727FF"/>
    <w:rsid w:val="00F91DF6"/>
    <w:rsid w:val="00F9653B"/>
    <w:rsid w:val="00F96CD6"/>
    <w:rsid w:val="00F976A7"/>
    <w:rsid w:val="00FA5142"/>
    <w:rsid w:val="00FA675D"/>
    <w:rsid w:val="00FA7D33"/>
    <w:rsid w:val="00FB1420"/>
    <w:rsid w:val="00FB62CF"/>
    <w:rsid w:val="00FB73C6"/>
    <w:rsid w:val="00FC3EB4"/>
    <w:rsid w:val="00FC5D07"/>
    <w:rsid w:val="00FC5DAC"/>
    <w:rsid w:val="00FC6C58"/>
    <w:rsid w:val="00FE0E92"/>
    <w:rsid w:val="00FE6B45"/>
    <w:rsid w:val="00FE7DF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customStyle="1" w:styleId="paragraph">
    <w:name w:val="paragraph"/>
    <w:basedOn w:val="Normal"/>
    <w:rsid w:val="00C57C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57C8E"/>
  </w:style>
  <w:style w:type="paragraph" w:customStyle="1" w:styleId="Default">
    <w:name w:val="Default"/>
    <w:rsid w:val="00C57C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imes New Roman" w:hAnsi="Verdana" w:cs="Verdana"/>
      <w:color w:val="000000"/>
      <w:sz w:val="24"/>
      <w:szCs w:val="24"/>
      <w:bdr w:val="none" w:sz="0" w:space="0" w:color="auto"/>
      <w:lang w:val="es-CO" w:eastAsia="es-CO"/>
    </w:rPr>
  </w:style>
  <w:style w:type="paragraph" w:styleId="Revision">
    <w:name w:val="Revision"/>
    <w:hidden/>
    <w:uiPriority w:val="99"/>
    <w:semiHidden/>
    <w:rsid w:val="0086668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001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9qGQMp5lF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5987</Words>
  <Characters>34131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159/24</dc:title>
  <dc:creator/>
  <cp:lastModifiedBy/>
  <cp:revision>1</cp:revision>
  <dcterms:created xsi:type="dcterms:W3CDTF">2024-11-04T21:19:00Z</dcterms:created>
  <dcterms:modified xsi:type="dcterms:W3CDTF">2024-11-05T14:25:00Z</dcterms:modified>
</cp:coreProperties>
</file>